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B60" w:rsidRPr="00842156" w:rsidRDefault="00811B60" w:rsidP="004C5E23">
      <w:pPr>
        <w:rPr>
          <w:rFonts w:ascii="Garamond" w:hAnsi="Garamond"/>
          <w:b/>
          <w:sz w:val="28"/>
          <w:szCs w:val="28"/>
        </w:rPr>
      </w:pPr>
      <w:bookmarkStart w:id="0" w:name="_Hlk521402872"/>
      <w:r>
        <w:rPr>
          <w:rFonts w:ascii="Garamond" w:hAnsi="Garamond"/>
          <w:b/>
          <w:sz w:val="28"/>
          <w:szCs w:val="28"/>
        </w:rPr>
        <w:t xml:space="preserve">VII.2. </w:t>
      </w:r>
      <w:r w:rsidRPr="00842156">
        <w:rPr>
          <w:rFonts w:ascii="Garamond" w:hAnsi="Garamond"/>
          <w:b/>
          <w:sz w:val="28"/>
          <w:szCs w:val="28"/>
        </w:rPr>
        <w:t>Изменения, связанные с публикацией информации по сечениям экспорта-импорта</w:t>
      </w:r>
    </w:p>
    <w:p w:rsidR="00811B60" w:rsidRPr="00842156" w:rsidRDefault="00811B60" w:rsidP="004C5E23">
      <w:pPr>
        <w:rPr>
          <w:rFonts w:ascii="Garamond" w:hAnsi="Garamond"/>
          <w:b/>
          <w:sz w:val="28"/>
          <w:szCs w:val="28"/>
        </w:rPr>
      </w:pPr>
    </w:p>
    <w:p w:rsidR="00811B60" w:rsidRPr="003D4F02" w:rsidRDefault="00811B60" w:rsidP="00842156">
      <w:pPr>
        <w:jc w:val="right"/>
        <w:rPr>
          <w:rFonts w:ascii="Garamond" w:hAnsi="Garamond"/>
          <w:b/>
          <w:sz w:val="28"/>
          <w:szCs w:val="28"/>
        </w:rPr>
      </w:pPr>
      <w:r w:rsidRPr="00842156">
        <w:rPr>
          <w:rFonts w:ascii="Garamond" w:hAnsi="Garamond"/>
          <w:b/>
          <w:sz w:val="28"/>
          <w:szCs w:val="28"/>
        </w:rPr>
        <w:t xml:space="preserve">Приложение № </w:t>
      </w:r>
      <w:r w:rsidRPr="003D4F02">
        <w:rPr>
          <w:rFonts w:ascii="Garamond" w:hAnsi="Garamond"/>
          <w:b/>
          <w:sz w:val="28"/>
          <w:szCs w:val="28"/>
        </w:rPr>
        <w:t>7.2.1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71"/>
      </w:tblGrid>
      <w:tr w:rsidR="00811B60" w:rsidRPr="002D5EF5" w:rsidTr="00716F5A">
        <w:trPr>
          <w:trHeight w:val="360"/>
        </w:trPr>
        <w:tc>
          <w:tcPr>
            <w:tcW w:w="14771" w:type="dxa"/>
          </w:tcPr>
          <w:bookmarkEnd w:id="0"/>
          <w:p w:rsidR="00811B60" w:rsidRDefault="00811B60" w:rsidP="00716F5A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Инициатор:</w:t>
            </w:r>
            <w:r>
              <w:rPr>
                <w:rFonts w:ascii="Garamond" w:hAnsi="Garamond"/>
                <w:sz w:val="24"/>
                <w:szCs w:val="24"/>
              </w:rPr>
              <w:t xml:space="preserve"> АО «СО ЕЭС».</w:t>
            </w:r>
          </w:p>
          <w:p w:rsidR="00811B60" w:rsidRDefault="00811B60" w:rsidP="00716F5A">
            <w:pPr>
              <w:pStyle w:val="ConsPlusNormal"/>
              <w:ind w:firstLine="0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 xml:space="preserve">Обоснование: 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в целях повышения информированности участника оптового рынка –</w:t>
            </w:r>
            <w:r w:rsidRPr="0010612A">
              <w:rPr>
                <w:rFonts w:ascii="Garamond" w:hAnsi="Garamond"/>
                <w:color w:val="000000"/>
                <w:sz w:val="24"/>
                <w:szCs w:val="24"/>
              </w:rPr>
              <w:t xml:space="preserve"> организации, осуществляющей экспортно–импортные операции в ГТП, зарегистрированных 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 xml:space="preserve">в том числе </w:t>
            </w:r>
            <w:r w:rsidRPr="0010612A">
              <w:rPr>
                <w:rFonts w:ascii="Garamond" w:hAnsi="Garamond"/>
                <w:color w:val="000000"/>
                <w:sz w:val="24"/>
                <w:szCs w:val="24"/>
              </w:rPr>
              <w:t>на сечениях экспорта-импорта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 xml:space="preserve"> на 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>котор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ых возможно возникновение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режимов изолированной работы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 энергорайон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ов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 от ЕЭС России (при отключении всех электрических связей с ЕЭС России)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 xml:space="preserve"> предлагается организовать публикацию персонифицированной информации по фактам возникновения таких режимов Коммерческим оператором.</w:t>
            </w:r>
          </w:p>
          <w:p w:rsidR="00811B60" w:rsidRPr="00146F02" w:rsidRDefault="00811B60" w:rsidP="00842156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 w:rsidRPr="00950582">
              <w:rPr>
                <w:rFonts w:ascii="Garamond" w:hAnsi="Garamond"/>
                <w:b/>
                <w:sz w:val="24"/>
                <w:szCs w:val="24"/>
              </w:rPr>
              <w:t>Дата вступления в силу: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октября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8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 года.</w:t>
            </w:r>
          </w:p>
        </w:tc>
      </w:tr>
    </w:tbl>
    <w:p w:rsidR="00811B60" w:rsidRDefault="00811B60" w:rsidP="003E4BC0">
      <w:pPr>
        <w:spacing w:after="0" w:line="240" w:lineRule="auto"/>
        <w:ind w:left="142"/>
        <w:jc w:val="both"/>
        <w:rPr>
          <w:rFonts w:ascii="Garamond" w:hAnsi="Garamond"/>
          <w:b/>
          <w:sz w:val="24"/>
          <w:szCs w:val="24"/>
        </w:rPr>
      </w:pPr>
    </w:p>
    <w:p w:rsidR="00811B60" w:rsidRDefault="00811B60" w:rsidP="003E4BC0">
      <w:pPr>
        <w:spacing w:after="0" w:line="240" w:lineRule="auto"/>
        <w:ind w:left="142"/>
        <w:rPr>
          <w:rFonts w:ascii="Garamond" w:hAnsi="Garamond"/>
          <w:b/>
          <w:sz w:val="26"/>
          <w:szCs w:val="26"/>
        </w:rPr>
      </w:pPr>
      <w:r w:rsidRPr="003D4F02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Pr="003D4F02">
        <w:rPr>
          <w:rFonts w:ascii="Garamond" w:hAnsi="Garamond"/>
          <w:b/>
          <w:caps/>
          <w:sz w:val="26"/>
          <w:szCs w:val="26"/>
        </w:rPr>
        <w:t>Регламент покупки/продажи электроэнергии участниками оптового рынка для дальнейшего использования в целях экспорта/импорта в зарубежные энергосистемы</w:t>
      </w:r>
      <w:r>
        <w:rPr>
          <w:rFonts w:ascii="Garamond" w:hAnsi="Garamond"/>
          <w:b/>
          <w:sz w:val="26"/>
          <w:szCs w:val="26"/>
        </w:rPr>
        <w:t xml:space="preserve"> (Приложение № 15 к Договору о присоединении к </w:t>
      </w:r>
      <w:r w:rsidRPr="003D4F02">
        <w:rPr>
          <w:rFonts w:ascii="Garamond" w:hAnsi="Garamond"/>
          <w:b/>
          <w:sz w:val="26"/>
          <w:szCs w:val="26"/>
        </w:rPr>
        <w:t>торговой системе оптового рынка)</w:t>
      </w:r>
    </w:p>
    <w:p w:rsidR="003E4BC0" w:rsidRPr="003D4F02" w:rsidRDefault="003E4BC0" w:rsidP="003E4BC0">
      <w:pPr>
        <w:spacing w:after="0" w:line="240" w:lineRule="auto"/>
        <w:ind w:left="142"/>
        <w:rPr>
          <w:rFonts w:ascii="Garamond" w:hAnsi="Garamond"/>
          <w:b/>
          <w:sz w:val="26"/>
          <w:szCs w:val="26"/>
        </w:rPr>
      </w:pPr>
    </w:p>
    <w:tbl>
      <w:tblPr>
        <w:tblW w:w="507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6574"/>
        <w:gridCol w:w="7512"/>
      </w:tblGrid>
      <w:tr w:rsidR="00811B60" w:rsidRPr="002D5EF5" w:rsidTr="003E4BC0">
        <w:trPr>
          <w:trHeight w:val="435"/>
        </w:trPr>
        <w:tc>
          <w:tcPr>
            <w:tcW w:w="288" w:type="pct"/>
            <w:tcMar>
              <w:left w:w="57" w:type="dxa"/>
              <w:right w:w="57" w:type="dxa"/>
            </w:tcMar>
            <w:vAlign w:val="center"/>
          </w:tcPr>
          <w:p w:rsidR="00811B60" w:rsidRPr="002D5EF5" w:rsidRDefault="00811B60" w:rsidP="003D4F0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>№</w:t>
            </w:r>
          </w:p>
          <w:p w:rsidR="00811B60" w:rsidRPr="002D5EF5" w:rsidRDefault="00811B60" w:rsidP="003D4F0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>пункта</w:t>
            </w:r>
          </w:p>
        </w:tc>
        <w:tc>
          <w:tcPr>
            <w:tcW w:w="2199" w:type="pct"/>
            <w:vAlign w:val="center"/>
          </w:tcPr>
          <w:p w:rsidR="00811B60" w:rsidRPr="002D5EF5" w:rsidRDefault="00811B60" w:rsidP="003D4F0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>Редакция, действующая на момент</w:t>
            </w:r>
          </w:p>
          <w:p w:rsidR="00811B60" w:rsidRPr="002D5EF5" w:rsidRDefault="00811B60" w:rsidP="003D4F0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 xml:space="preserve"> вступления в силу изменений</w:t>
            </w:r>
          </w:p>
        </w:tc>
        <w:tc>
          <w:tcPr>
            <w:tcW w:w="2513" w:type="pct"/>
            <w:vAlign w:val="center"/>
          </w:tcPr>
          <w:p w:rsidR="00811B60" w:rsidRPr="002D5EF5" w:rsidRDefault="00811B60" w:rsidP="003D4F0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>Предлагаемая редакция</w:t>
            </w:r>
          </w:p>
          <w:p w:rsidR="00811B60" w:rsidRPr="002D5EF5" w:rsidRDefault="00811B60" w:rsidP="003D4F02">
            <w:pPr>
              <w:spacing w:after="0" w:line="240" w:lineRule="auto"/>
              <w:jc w:val="center"/>
              <w:rPr>
                <w:rFonts w:ascii="Garamond" w:hAnsi="Garamond" w:cs="Garamond"/>
                <w:lang w:eastAsia="ru-RU"/>
              </w:rPr>
            </w:pPr>
            <w:r w:rsidRPr="002D5EF5">
              <w:rPr>
                <w:rFonts w:ascii="Garamond" w:hAnsi="Garamond" w:cs="Garamond"/>
                <w:lang w:eastAsia="ru-RU"/>
              </w:rPr>
              <w:t>(изменения выделены цветом)</w:t>
            </w:r>
          </w:p>
        </w:tc>
      </w:tr>
      <w:tr w:rsidR="00811B60" w:rsidRPr="002D5EF5" w:rsidTr="003E4BC0">
        <w:trPr>
          <w:trHeight w:val="725"/>
        </w:trPr>
        <w:tc>
          <w:tcPr>
            <w:tcW w:w="288" w:type="pct"/>
            <w:tcMar>
              <w:left w:w="57" w:type="dxa"/>
              <w:right w:w="57" w:type="dxa"/>
            </w:tcMar>
            <w:vAlign w:val="center"/>
          </w:tcPr>
          <w:p w:rsidR="00811B60" w:rsidRPr="002D5EF5" w:rsidRDefault="00811B60" w:rsidP="00716F5A">
            <w:pPr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>7.4</w:t>
            </w:r>
          </w:p>
        </w:tc>
        <w:tc>
          <w:tcPr>
            <w:tcW w:w="2199" w:type="pct"/>
          </w:tcPr>
          <w:p w:rsidR="00811B60" w:rsidRPr="002D5EF5" w:rsidRDefault="00811B60" w:rsidP="00E7560B">
            <w:pPr>
              <w:widowControl w:val="0"/>
              <w:spacing w:before="120" w:after="120" w:line="240" w:lineRule="auto"/>
              <w:ind w:left="175" w:firstLine="284"/>
              <w:jc w:val="both"/>
              <w:rPr>
                <w:rFonts w:ascii="Garamond" w:hAnsi="Garamond"/>
              </w:rPr>
            </w:pPr>
            <w:r w:rsidRPr="002D5EF5">
              <w:rPr>
                <w:rFonts w:ascii="Garamond" w:hAnsi="Garamond"/>
              </w:rPr>
              <w:t>7.4. СО в течение 3 (трех) рабочих дней, но не позднее 7 (семи) календарных дней по окончании месяца информирует КО и ДДПР:</w:t>
            </w:r>
          </w:p>
          <w:p w:rsidR="00811B60" w:rsidRPr="002D5EF5" w:rsidRDefault="00811B60" w:rsidP="00E7560B">
            <w:pPr>
              <w:widowControl w:val="0"/>
              <w:numPr>
                <w:ilvl w:val="0"/>
                <w:numId w:val="16"/>
              </w:numPr>
              <w:spacing w:before="120" w:after="120" w:line="240" w:lineRule="auto"/>
              <w:ind w:left="175" w:firstLine="284"/>
              <w:jc w:val="both"/>
              <w:rPr>
                <w:rFonts w:ascii="Garamond" w:hAnsi="Garamond"/>
              </w:rPr>
            </w:pPr>
            <w:r w:rsidRPr="002D5EF5">
              <w:rPr>
                <w:rFonts w:ascii="Garamond" w:hAnsi="Garamond"/>
              </w:rPr>
              <w:t>о фактических часах прекращения действия режима, при котором отдельные энергорайоны на территории России работают изолированно от ЕЭС России (при отключении всех электрических связей с ЕЭС России) параллельно с зарубежной энергосистемой или ее частью и который был учтен в актуализированной расчетной модели;</w:t>
            </w:r>
          </w:p>
          <w:p w:rsidR="00811B60" w:rsidRPr="00845A1F" w:rsidRDefault="00811B60" w:rsidP="00E7560B">
            <w:pPr>
              <w:pStyle w:val="subsubclauseindent"/>
              <w:widowControl w:val="0"/>
              <w:numPr>
                <w:ilvl w:val="0"/>
                <w:numId w:val="16"/>
              </w:numPr>
              <w:ind w:left="0" w:firstLine="468"/>
              <w:rPr>
                <w:rFonts w:ascii="Garamond" w:hAnsi="Garamond"/>
                <w:szCs w:val="22"/>
                <w:lang w:val="ru-RU"/>
              </w:rPr>
            </w:pPr>
            <w:r w:rsidRPr="00845A1F">
              <w:rPr>
                <w:rFonts w:ascii="Garamond" w:hAnsi="Garamond"/>
                <w:szCs w:val="22"/>
                <w:lang w:val="ru-RU"/>
              </w:rPr>
              <w:t>о часах, в которых зарегистрировано фактическое возникновение вышеуказанного режима в случае, если он не был учтен в актуализированной расчетной модели, но возник в реальном времени.</w:t>
            </w:r>
          </w:p>
          <w:p w:rsidR="00811B60" w:rsidRPr="00833928" w:rsidRDefault="00811B60" w:rsidP="00E7560B">
            <w:pPr>
              <w:pStyle w:val="4"/>
              <w:tabs>
                <w:tab w:val="left" w:pos="708"/>
              </w:tabs>
              <w:spacing w:before="120" w:after="120"/>
              <w:ind w:firstLine="567"/>
              <w:jc w:val="both"/>
              <w:rPr>
                <w:rFonts w:ascii="Garamond" w:hAnsi="Garamond"/>
                <w:b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4" w:type="pct"/>
          </w:tcPr>
          <w:p w:rsidR="00811B60" w:rsidRPr="002D5EF5" w:rsidRDefault="00811B60" w:rsidP="00E7560B">
            <w:pPr>
              <w:widowControl w:val="0"/>
              <w:spacing w:before="120" w:after="120" w:line="240" w:lineRule="auto"/>
              <w:ind w:left="175"/>
              <w:jc w:val="both"/>
              <w:rPr>
                <w:rFonts w:ascii="Garamond" w:hAnsi="Garamond"/>
              </w:rPr>
            </w:pPr>
            <w:r w:rsidRPr="002D5EF5">
              <w:rPr>
                <w:rFonts w:ascii="Garamond" w:hAnsi="Garamond"/>
              </w:rPr>
              <w:t xml:space="preserve"> 7.4. СО в течение 3 (трех) рабочих дней, </w:t>
            </w:r>
            <w:r w:rsidRPr="002D5EF5">
              <w:rPr>
                <w:rFonts w:ascii="Garamond" w:hAnsi="Garamond"/>
                <w:highlight w:val="yellow"/>
              </w:rPr>
              <w:t>в ежедневном режиме,</w:t>
            </w:r>
            <w:r w:rsidRPr="002D5EF5">
              <w:rPr>
                <w:rFonts w:ascii="Garamond" w:hAnsi="Garamond"/>
              </w:rPr>
              <w:t xml:space="preserve"> но не позднее 7 (семи) календарных дней по окончании месяца информирует КО и ДДПР:</w:t>
            </w:r>
          </w:p>
          <w:p w:rsidR="00811B60" w:rsidRPr="002D5EF5" w:rsidRDefault="00811B60" w:rsidP="00E7560B">
            <w:pPr>
              <w:widowControl w:val="0"/>
              <w:numPr>
                <w:ilvl w:val="0"/>
                <w:numId w:val="16"/>
              </w:numPr>
              <w:spacing w:before="120" w:after="120" w:line="240" w:lineRule="auto"/>
              <w:ind w:left="175" w:firstLine="284"/>
              <w:jc w:val="both"/>
              <w:rPr>
                <w:rFonts w:ascii="Garamond" w:hAnsi="Garamond"/>
              </w:rPr>
            </w:pPr>
            <w:r w:rsidRPr="002D5EF5">
              <w:rPr>
                <w:rFonts w:ascii="Garamond" w:hAnsi="Garamond"/>
              </w:rPr>
              <w:t xml:space="preserve"> о фактических часах прекращения действия режима, при котором отдельные энергорайоны на территории России работают изолированно от ЕЭС России (при отключении всех электрических связей с ЕЭС России) параллельно с зарубежной энергосистемой или ее частью и который был учтен в актуализированной расчетной модели;</w:t>
            </w:r>
          </w:p>
          <w:p w:rsidR="00811B60" w:rsidRPr="003C5E9F" w:rsidRDefault="00811B60" w:rsidP="00E7560B">
            <w:pPr>
              <w:pStyle w:val="subsubclauseindent"/>
              <w:widowControl w:val="0"/>
              <w:numPr>
                <w:ilvl w:val="0"/>
                <w:numId w:val="16"/>
              </w:numPr>
              <w:ind w:left="142" w:firstLine="284"/>
              <w:rPr>
                <w:rFonts w:ascii="Garamond" w:hAnsi="Garamond"/>
                <w:b/>
                <w:color w:val="000000"/>
                <w:sz w:val="24"/>
                <w:szCs w:val="24"/>
                <w:lang w:val="ru-RU" w:eastAsia="ru-RU"/>
              </w:rPr>
            </w:pPr>
            <w:r w:rsidRPr="004B1801">
              <w:rPr>
                <w:rFonts w:ascii="Garamond" w:hAnsi="Garamond"/>
                <w:szCs w:val="22"/>
                <w:lang w:val="ru-RU"/>
              </w:rPr>
              <w:t>о часах, в которых зарегистрировано фактическое возникновение вышеуказанного режима в случае, если он не был учтен в актуализированной расчетной модели, но возник в реальном времени.</w:t>
            </w:r>
          </w:p>
          <w:p w:rsidR="00811B60" w:rsidRPr="002D5EF5" w:rsidRDefault="00811B60" w:rsidP="00E7560B">
            <w:pPr>
              <w:widowControl w:val="0"/>
              <w:spacing w:before="120" w:after="120" w:line="240" w:lineRule="auto"/>
              <w:ind w:left="175"/>
              <w:jc w:val="both"/>
              <w:rPr>
                <w:rFonts w:ascii="Garamond" w:hAnsi="Garamond"/>
                <w:highlight w:val="yellow"/>
              </w:rPr>
            </w:pPr>
            <w:r w:rsidRPr="002D5EF5">
              <w:rPr>
                <w:rFonts w:ascii="Garamond" w:hAnsi="Garamond"/>
                <w:bCs/>
                <w:color w:val="000000"/>
                <w:highlight w:val="yellow"/>
                <w:lang w:eastAsia="ru-RU"/>
              </w:rPr>
              <w:t>КО в течение 5 (пяти) рабочих дней по окончании расчетного месяца,  но не позднее 8 (восьми) календарных дней по окончании расчетного месяца публикует указанную информацию</w:t>
            </w:r>
            <w:r w:rsidRPr="002D5EF5">
              <w:rPr>
                <w:rFonts w:ascii="Garamond" w:hAnsi="Garamond"/>
                <w:color w:val="000000"/>
                <w:highlight w:val="yellow"/>
              </w:rPr>
              <w:t xml:space="preserve"> по Форме предоставления информации по сечениям экспорта-импорта для  организации, осуществляющей экспортно-импортные операции,  на основе данных СО в соответствии с </w:t>
            </w:r>
            <w:r w:rsidRPr="002D5EF5">
              <w:rPr>
                <w:rFonts w:ascii="Garamond" w:hAnsi="Garamond"/>
                <w:color w:val="000000"/>
                <w:highlight w:val="yellow"/>
              </w:rPr>
              <w:lastRenderedPageBreak/>
              <w:t>Приложением 2 к настоящему Регламенту</w:t>
            </w:r>
            <w:r>
              <w:rPr>
                <w:rFonts w:ascii="Garamond" w:hAnsi="Garamond"/>
                <w:bCs/>
                <w:color w:val="000000"/>
                <w:highlight w:val="yellow"/>
                <w:lang w:eastAsia="ru-RU"/>
              </w:rPr>
              <w:t xml:space="preserve"> в персональном разделе участника оптового рынка –</w:t>
            </w:r>
            <w:r w:rsidRPr="002D5EF5">
              <w:rPr>
                <w:rFonts w:ascii="Garamond" w:hAnsi="Garamond"/>
                <w:bCs/>
                <w:color w:val="000000"/>
                <w:highlight w:val="yellow"/>
                <w:lang w:eastAsia="ru-RU"/>
              </w:rPr>
              <w:t xml:space="preserve"> организации, осуществляющей экспортно–импортные операции </w:t>
            </w:r>
            <w:r w:rsidRPr="002D5EF5">
              <w:rPr>
                <w:rFonts w:ascii="Garamond" w:hAnsi="Garamond"/>
                <w:color w:val="000000"/>
                <w:highlight w:val="yellow"/>
                <w:lang w:eastAsia="ru-RU"/>
              </w:rPr>
              <w:t>в ГТП, зарегистрированных на соответствующих сечениях экспорта-импорта</w:t>
            </w:r>
            <w:r w:rsidRPr="002D5EF5">
              <w:rPr>
                <w:rFonts w:ascii="Garamond" w:hAnsi="Garamond"/>
                <w:bCs/>
                <w:color w:val="000000"/>
                <w:highlight w:val="yellow"/>
                <w:lang w:eastAsia="ru-RU"/>
              </w:rPr>
              <w:t>.</w:t>
            </w:r>
          </w:p>
        </w:tc>
      </w:tr>
    </w:tbl>
    <w:p w:rsidR="00811B60" w:rsidRDefault="00811B60" w:rsidP="001E21F0"/>
    <w:p w:rsidR="00811B60" w:rsidRPr="00BE20E8" w:rsidRDefault="00811B60" w:rsidP="001E21F0">
      <w:pPr>
        <w:rPr>
          <w:rFonts w:ascii="Garamond" w:hAnsi="Garamond"/>
          <w:b/>
          <w:sz w:val="24"/>
          <w:szCs w:val="24"/>
        </w:rPr>
      </w:pPr>
      <w:r w:rsidRPr="00BE20E8">
        <w:rPr>
          <w:rFonts w:ascii="Garamond" w:hAnsi="Garamond"/>
          <w:b/>
          <w:sz w:val="24"/>
          <w:szCs w:val="24"/>
        </w:rPr>
        <w:t xml:space="preserve">Добавить </w:t>
      </w:r>
      <w:r w:rsidR="00BE20E8" w:rsidRPr="00BE20E8">
        <w:rPr>
          <w:rFonts w:ascii="Garamond" w:hAnsi="Garamond"/>
          <w:b/>
          <w:sz w:val="24"/>
          <w:szCs w:val="24"/>
        </w:rPr>
        <w:t>приложение</w:t>
      </w:r>
    </w:p>
    <w:p w:rsidR="00811B60" w:rsidRDefault="00811B60" w:rsidP="001E21F0">
      <w:pPr>
        <w:pStyle w:val="af2"/>
        <w:widowControl w:val="0"/>
        <w:spacing w:before="0"/>
        <w:jc w:val="right"/>
        <w:rPr>
          <w:rFonts w:ascii="Garamond" w:hAnsi="Garamond"/>
          <w:b/>
          <w:sz w:val="22"/>
          <w:szCs w:val="22"/>
        </w:rPr>
      </w:pPr>
      <w:r w:rsidRPr="00BE20E8">
        <w:rPr>
          <w:rFonts w:ascii="Garamond" w:hAnsi="Garamond"/>
          <w:b/>
          <w:sz w:val="22"/>
          <w:szCs w:val="22"/>
        </w:rPr>
        <w:t>Приложение 2</w:t>
      </w:r>
    </w:p>
    <w:p w:rsidR="00BE20E8" w:rsidRPr="00BE20E8" w:rsidRDefault="00BE20E8" w:rsidP="001E21F0">
      <w:pPr>
        <w:pStyle w:val="af2"/>
        <w:widowControl w:val="0"/>
        <w:spacing w:before="0"/>
        <w:jc w:val="right"/>
        <w:rPr>
          <w:rFonts w:ascii="Garamond" w:hAnsi="Garamond"/>
          <w:sz w:val="22"/>
          <w:szCs w:val="22"/>
        </w:rPr>
      </w:pPr>
    </w:p>
    <w:p w:rsidR="00811B60" w:rsidRPr="00BE20E8" w:rsidRDefault="00811B60" w:rsidP="00BE20E8">
      <w:pPr>
        <w:jc w:val="both"/>
        <w:rPr>
          <w:rFonts w:ascii="Garamond" w:hAnsi="Garamond" w:cs="Arial"/>
          <w:b/>
          <w:color w:val="000000"/>
          <w:lang w:eastAsia="ru-RU"/>
        </w:rPr>
      </w:pPr>
      <w:r w:rsidRPr="00BE20E8">
        <w:rPr>
          <w:rFonts w:ascii="Garamond" w:hAnsi="Garamond" w:cs="Arial"/>
          <w:b/>
          <w:color w:val="000000"/>
          <w:lang w:eastAsia="ru-RU"/>
        </w:rPr>
        <w:t>Форма предоставления информации по сечениям экспорта-импорта для организации, осуществляющей экспортно-импортные операции, на основе данных СО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06"/>
        <w:gridCol w:w="3613"/>
        <w:gridCol w:w="3599"/>
        <w:gridCol w:w="3600"/>
      </w:tblGrid>
      <w:tr w:rsidR="00811B60" w:rsidRPr="00BE20E8" w:rsidTr="002D5EF5">
        <w:tc>
          <w:tcPr>
            <w:tcW w:w="3606" w:type="dxa"/>
          </w:tcPr>
          <w:p w:rsidR="00811B60" w:rsidRPr="00BE20E8" w:rsidRDefault="00811B60" w:rsidP="002D5EF5">
            <w:pPr>
              <w:spacing w:after="0" w:line="240" w:lineRule="auto"/>
              <w:jc w:val="center"/>
              <w:rPr>
                <w:rFonts w:ascii="Garamond" w:hAnsi="Garamond"/>
                <w:bCs/>
                <w:color w:val="000000"/>
                <w:lang w:eastAsia="ru-RU"/>
              </w:rPr>
            </w:pPr>
            <w:r w:rsidRPr="00BE20E8">
              <w:rPr>
                <w:rFonts w:ascii="Garamond" w:hAnsi="Garamond"/>
                <w:bCs/>
                <w:color w:val="000000"/>
                <w:lang w:eastAsia="ru-RU"/>
              </w:rPr>
              <w:t>Код сечения экспорта-импорта</w:t>
            </w:r>
          </w:p>
        </w:tc>
        <w:tc>
          <w:tcPr>
            <w:tcW w:w="3613" w:type="dxa"/>
          </w:tcPr>
          <w:p w:rsidR="00811B60" w:rsidRPr="00BE20E8" w:rsidRDefault="00811B60" w:rsidP="002D5EF5">
            <w:pPr>
              <w:spacing w:after="0" w:line="240" w:lineRule="auto"/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ru-RU"/>
              </w:rPr>
            </w:pPr>
            <w:r w:rsidRPr="00BE20E8">
              <w:rPr>
                <w:rFonts w:ascii="Garamond" w:hAnsi="Garamond"/>
                <w:bCs/>
                <w:color w:val="000000"/>
                <w:lang w:eastAsia="ru-RU"/>
              </w:rPr>
              <w:t>Наименование сечения экспорта-импорта</w:t>
            </w:r>
          </w:p>
        </w:tc>
        <w:tc>
          <w:tcPr>
            <w:tcW w:w="3599" w:type="dxa"/>
          </w:tcPr>
          <w:p w:rsidR="00811B60" w:rsidRPr="00BE20E8" w:rsidRDefault="00811B60" w:rsidP="002D5EF5">
            <w:pPr>
              <w:spacing w:after="0" w:line="240" w:lineRule="auto"/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ru-RU"/>
              </w:rPr>
            </w:pPr>
            <w:r w:rsidRPr="00BE20E8">
              <w:rPr>
                <w:rFonts w:ascii="Garamond" w:hAnsi="Garamond"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3600" w:type="dxa"/>
          </w:tcPr>
          <w:p w:rsidR="00811B60" w:rsidRPr="00BE20E8" w:rsidRDefault="00811B60" w:rsidP="002D5EF5">
            <w:pPr>
              <w:spacing w:after="0" w:line="240" w:lineRule="auto"/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ru-RU"/>
              </w:rPr>
            </w:pPr>
            <w:r w:rsidRPr="00BE20E8">
              <w:rPr>
                <w:rFonts w:ascii="Garamond" w:hAnsi="Garamond"/>
                <w:bCs/>
                <w:color w:val="000000"/>
                <w:lang w:eastAsia="ru-RU"/>
              </w:rPr>
              <w:t>Час суток</w:t>
            </w:r>
          </w:p>
        </w:tc>
      </w:tr>
      <w:tr w:rsidR="00811B60" w:rsidRPr="00BE20E8" w:rsidTr="002D5EF5">
        <w:tc>
          <w:tcPr>
            <w:tcW w:w="3606" w:type="dxa"/>
          </w:tcPr>
          <w:p w:rsidR="00811B60" w:rsidRPr="00BE20E8" w:rsidRDefault="00811B60" w:rsidP="002D5EF5">
            <w:pPr>
              <w:spacing w:after="0" w:line="240" w:lineRule="auto"/>
              <w:jc w:val="center"/>
              <w:rPr>
                <w:rFonts w:ascii="Garamond" w:hAnsi="Garamond"/>
                <w:color w:val="000000"/>
                <w:sz w:val="24"/>
                <w:szCs w:val="24"/>
                <w:lang w:eastAsia="ru-RU"/>
              </w:rPr>
            </w:pPr>
            <w:r w:rsidRPr="00BE20E8">
              <w:rPr>
                <w:rFonts w:ascii="Garamond" w:hAnsi="Garamond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3" w:type="dxa"/>
          </w:tcPr>
          <w:p w:rsidR="00811B60" w:rsidRPr="00BE20E8" w:rsidRDefault="00811B60" w:rsidP="002D5EF5">
            <w:pPr>
              <w:spacing w:after="0" w:line="240" w:lineRule="auto"/>
              <w:jc w:val="center"/>
              <w:rPr>
                <w:rFonts w:ascii="Garamond" w:hAnsi="Garamond"/>
                <w:color w:val="000000"/>
                <w:sz w:val="24"/>
                <w:szCs w:val="24"/>
                <w:lang w:eastAsia="ru-RU"/>
              </w:rPr>
            </w:pPr>
            <w:r w:rsidRPr="00BE20E8">
              <w:rPr>
                <w:rFonts w:ascii="Garamond" w:hAnsi="Garamond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9" w:type="dxa"/>
          </w:tcPr>
          <w:p w:rsidR="00811B60" w:rsidRPr="00BE20E8" w:rsidRDefault="00811B60" w:rsidP="002D5EF5">
            <w:pPr>
              <w:spacing w:after="0" w:line="240" w:lineRule="auto"/>
              <w:jc w:val="center"/>
              <w:rPr>
                <w:rFonts w:ascii="Garamond" w:hAnsi="Garamond"/>
                <w:color w:val="000000"/>
                <w:sz w:val="24"/>
                <w:szCs w:val="24"/>
                <w:lang w:eastAsia="ru-RU"/>
              </w:rPr>
            </w:pPr>
            <w:r w:rsidRPr="00BE20E8">
              <w:rPr>
                <w:rFonts w:ascii="Garamond" w:hAnsi="Garamond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0" w:type="dxa"/>
          </w:tcPr>
          <w:p w:rsidR="00811B60" w:rsidRPr="00BE20E8" w:rsidRDefault="00811B60" w:rsidP="002D5EF5">
            <w:pPr>
              <w:spacing w:after="0" w:line="240" w:lineRule="auto"/>
              <w:jc w:val="center"/>
              <w:rPr>
                <w:rFonts w:ascii="Garamond" w:hAnsi="Garamond"/>
                <w:color w:val="000000"/>
                <w:sz w:val="24"/>
                <w:szCs w:val="24"/>
                <w:lang w:eastAsia="ru-RU"/>
              </w:rPr>
            </w:pPr>
            <w:r w:rsidRPr="00BE20E8">
              <w:rPr>
                <w:rFonts w:ascii="Garamond" w:hAnsi="Garamond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811B60" w:rsidRDefault="00811B60" w:rsidP="001E21F0">
      <w:pPr>
        <w:jc w:val="both"/>
        <w:rPr>
          <w:b/>
          <w:sz w:val="26"/>
          <w:szCs w:val="26"/>
        </w:rPr>
      </w:pPr>
    </w:p>
    <w:p w:rsidR="005F6CC3" w:rsidRPr="005F6CC3" w:rsidRDefault="005F6CC3" w:rsidP="005F6CC3">
      <w:pPr>
        <w:pStyle w:val="20"/>
        <w:keepNext w:val="0"/>
        <w:widowControl w:val="0"/>
        <w:spacing w:before="0" w:line="240" w:lineRule="auto"/>
        <w:rPr>
          <w:rFonts w:ascii="Garamond" w:hAnsi="Garamond"/>
          <w:b w:val="0"/>
          <w:color w:val="auto"/>
        </w:rPr>
      </w:pPr>
      <w:r w:rsidRPr="005F6CC3">
        <w:rPr>
          <w:rFonts w:ascii="Garamond" w:hAnsi="Garamond"/>
          <w:color w:val="auto"/>
        </w:rPr>
        <w:t>Предложения по изменениям и дополнениям в СОГЛАШЕНИЕ О ПРИМЕНЕНИИ ЭЛЕКТРОННОЙ ПОДПИСИ В ТОРГОВОЙ СИСТЕМЕ ОПТОВОГО РЫНКА (Приложение № Д 7 к Договору о присоединении к торговой системе оптового рынка)</w:t>
      </w:r>
    </w:p>
    <w:p w:rsidR="005F6CC3" w:rsidRPr="005F6CC3" w:rsidRDefault="005F6CC3" w:rsidP="005F6CC3">
      <w:pPr>
        <w:pStyle w:val="20"/>
        <w:keepNext w:val="0"/>
        <w:widowControl w:val="0"/>
        <w:spacing w:before="0" w:line="240" w:lineRule="auto"/>
        <w:ind w:left="284"/>
        <w:rPr>
          <w:rFonts w:ascii="Garamond" w:hAnsi="Garamond"/>
          <w:b w:val="0"/>
          <w:color w:val="auto"/>
        </w:rPr>
      </w:pPr>
    </w:p>
    <w:p w:rsidR="005F6CC3" w:rsidRPr="005F6CC3" w:rsidRDefault="005F6CC3" w:rsidP="005F6CC3">
      <w:pPr>
        <w:pStyle w:val="20"/>
        <w:keepNext w:val="0"/>
        <w:widowControl w:val="0"/>
        <w:spacing w:before="0" w:line="240" w:lineRule="auto"/>
        <w:ind w:left="284"/>
        <w:rPr>
          <w:rFonts w:ascii="Garamond" w:hAnsi="Garamond"/>
          <w:b w:val="0"/>
          <w:color w:val="auto"/>
          <w:sz w:val="24"/>
        </w:rPr>
      </w:pPr>
      <w:r w:rsidRPr="005F6CC3">
        <w:rPr>
          <w:rFonts w:ascii="Garamond" w:hAnsi="Garamond"/>
          <w:color w:val="auto"/>
          <w:sz w:val="24"/>
        </w:rPr>
        <w:t>Добавить позицию в приложение 2 к Правилам ЭДО СЭД КО</w:t>
      </w:r>
    </w:p>
    <w:p w:rsidR="005F6CC3" w:rsidRPr="005F6CC3" w:rsidRDefault="005F6CC3" w:rsidP="005F6CC3">
      <w:pPr>
        <w:spacing w:after="0" w:line="240" w:lineRule="auto"/>
        <w:rPr>
          <w:rFonts w:ascii="Garamond" w:hAnsi="Garamond"/>
          <w:b/>
        </w:rPr>
      </w:pPr>
    </w:p>
    <w:tbl>
      <w:tblPr>
        <w:tblW w:w="15427" w:type="dxa"/>
        <w:tblLayout w:type="fixed"/>
        <w:tblLook w:val="00A0" w:firstRow="1" w:lastRow="0" w:firstColumn="1" w:lastColumn="0" w:noHBand="0" w:noVBand="0"/>
      </w:tblPr>
      <w:tblGrid>
        <w:gridCol w:w="1101"/>
        <w:gridCol w:w="2976"/>
        <w:gridCol w:w="1247"/>
        <w:gridCol w:w="805"/>
        <w:gridCol w:w="851"/>
        <w:gridCol w:w="851"/>
        <w:gridCol w:w="1044"/>
        <w:gridCol w:w="882"/>
        <w:gridCol w:w="851"/>
        <w:gridCol w:w="992"/>
        <w:gridCol w:w="1418"/>
        <w:gridCol w:w="1162"/>
        <w:gridCol w:w="1247"/>
      </w:tblGrid>
      <w:tr w:rsidR="00811B60" w:rsidRPr="00522333" w:rsidTr="005F6CC3">
        <w:trPr>
          <w:trHeight w:val="58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Код формы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Наименование формы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Основание предоставления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Отправитель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382505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Получатель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Способ доставки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Подтверждать получение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Шифровать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Область применения ЭП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отображения и изготовления бумажных копий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Срок хранения ЭД в архиве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811B60" w:rsidRPr="00522333" w:rsidRDefault="00811B60" w:rsidP="00716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Срок доступа через интерфейс сайта</w:t>
            </w:r>
          </w:p>
        </w:tc>
      </w:tr>
      <w:tr w:rsidR="00811B60" w:rsidRPr="00522333" w:rsidTr="005F6CC3">
        <w:trPr>
          <w:trHeight w:val="709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1B60" w:rsidRPr="00522333" w:rsidRDefault="00811B60" w:rsidP="00716F5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522333">
              <w:rPr>
                <w:rFonts w:ascii="Arial" w:hAnsi="Arial" w:cs="Arial"/>
                <w:sz w:val="18"/>
                <w:szCs w:val="18"/>
                <w:lang w:val="en-US"/>
              </w:rPr>
              <w:t>ATS_PART_IMPEX_SECTIONS_INFO_FROM_SO</w:t>
            </w:r>
            <w:r w:rsidRPr="00522333">
              <w:rPr>
                <w:rFonts w:ascii="Arial" w:hAnsi="Arial" w:cs="Arial"/>
                <w:color w:val="000000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716F5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Форма предоставления информации по</w:t>
            </w:r>
            <w:r w:rsidR="005F6CC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 xml:space="preserve"> сечениям экспорта-импорта для </w:t>
            </w: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организации, осуществляюще</w:t>
            </w:r>
            <w:r w:rsidR="005F6CC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й экспортно-импортные операции,</w:t>
            </w: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 xml:space="preserve"> на основе данных СО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6B6E8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Регламент № 15, п.</w:t>
            </w:r>
            <w:r w:rsidRPr="005223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F6CC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716F5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xls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716F5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АТС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716F5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Участник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621D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сайт, персональный раздел участника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716F5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716F5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716F5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1.3.6.1.4.1.18545.1.2.1.3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716F5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Excel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716F5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5 лет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B60" w:rsidRPr="00522333" w:rsidRDefault="00811B60" w:rsidP="00716F5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22333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12 месяцев</w:t>
            </w:r>
          </w:p>
        </w:tc>
      </w:tr>
    </w:tbl>
    <w:p w:rsidR="000762AA" w:rsidRDefault="000762AA" w:rsidP="00842156">
      <w:pPr>
        <w:jc w:val="right"/>
        <w:rPr>
          <w:rFonts w:ascii="Garamond" w:hAnsi="Garamond"/>
          <w:b/>
          <w:sz w:val="28"/>
          <w:szCs w:val="28"/>
        </w:rPr>
      </w:pPr>
    </w:p>
    <w:p w:rsidR="005F6CC3" w:rsidRDefault="005F6CC3" w:rsidP="000762AA">
      <w:pPr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</w:p>
    <w:p w:rsidR="005F6CC3" w:rsidRDefault="005F6CC3" w:rsidP="000762AA">
      <w:pPr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</w:p>
    <w:p w:rsidR="00811B60" w:rsidRPr="00842156" w:rsidRDefault="00811B60" w:rsidP="000762AA">
      <w:pPr>
        <w:spacing w:after="0" w:line="240" w:lineRule="auto"/>
        <w:jc w:val="right"/>
        <w:rPr>
          <w:rFonts w:ascii="Garamond" w:hAnsi="Garamond"/>
          <w:b/>
          <w:sz w:val="28"/>
          <w:szCs w:val="28"/>
          <w:lang w:val="en-US"/>
        </w:rPr>
      </w:pPr>
      <w:r>
        <w:rPr>
          <w:rFonts w:ascii="Garamond" w:hAnsi="Garamond"/>
          <w:b/>
          <w:sz w:val="28"/>
          <w:szCs w:val="28"/>
        </w:rPr>
        <w:lastRenderedPageBreak/>
        <w:t xml:space="preserve">Приложение </w:t>
      </w:r>
      <w:r w:rsidRPr="00842156">
        <w:rPr>
          <w:rFonts w:ascii="Garamond" w:hAnsi="Garamond"/>
          <w:b/>
          <w:sz w:val="28"/>
          <w:szCs w:val="28"/>
        </w:rPr>
        <w:t xml:space="preserve">№ </w:t>
      </w:r>
      <w:r>
        <w:rPr>
          <w:rFonts w:ascii="Garamond" w:hAnsi="Garamond"/>
          <w:b/>
          <w:sz w:val="28"/>
          <w:szCs w:val="28"/>
          <w:lang w:val="en-US"/>
        </w:rPr>
        <w:t>7.2.2</w:t>
      </w:r>
    </w:p>
    <w:p w:rsidR="00811B60" w:rsidRPr="004C5E23" w:rsidRDefault="00811B60" w:rsidP="000762AA">
      <w:pPr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6"/>
      </w:tblGrid>
      <w:tr w:rsidR="00811B60" w:rsidRPr="002D5EF5" w:rsidTr="007514E8">
        <w:trPr>
          <w:trHeight w:val="360"/>
        </w:trPr>
        <w:tc>
          <w:tcPr>
            <w:tcW w:w="15026" w:type="dxa"/>
          </w:tcPr>
          <w:p w:rsidR="00811B60" w:rsidRDefault="00811B60" w:rsidP="000762AA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Инициатор:</w:t>
            </w:r>
            <w:r>
              <w:rPr>
                <w:rFonts w:ascii="Garamond" w:hAnsi="Garamond"/>
                <w:sz w:val="24"/>
                <w:szCs w:val="24"/>
              </w:rPr>
              <w:t xml:space="preserve"> АО «СО ЕЭС».</w:t>
            </w:r>
          </w:p>
          <w:p w:rsidR="00811B60" w:rsidRDefault="00811B60" w:rsidP="000762AA">
            <w:pPr>
              <w:pStyle w:val="ConsPlusNormal"/>
              <w:ind w:firstLine="0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 xml:space="preserve">Обоснование: 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в целях повышения информированности участника оптового рынка –</w:t>
            </w:r>
            <w:r w:rsidRPr="0010612A">
              <w:rPr>
                <w:rFonts w:ascii="Garamond" w:hAnsi="Garamond"/>
                <w:color w:val="000000"/>
                <w:sz w:val="24"/>
                <w:szCs w:val="24"/>
              </w:rPr>
              <w:t xml:space="preserve"> организации, осуществляющей экспортно–импортные операции в ГТП, зарегистрированных 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 xml:space="preserve">в том числе </w:t>
            </w:r>
            <w:r w:rsidRPr="0010612A">
              <w:rPr>
                <w:rFonts w:ascii="Garamond" w:hAnsi="Garamond"/>
                <w:color w:val="000000"/>
                <w:sz w:val="24"/>
                <w:szCs w:val="24"/>
              </w:rPr>
              <w:t>на сечениях экспорта-импорта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 xml:space="preserve">, на 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>котор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ых возможно возникновение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режимов изолированной работы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 энергорайон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ов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 от ЕЭС России (при отключении всех электрических связей с ЕЭС России)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, предлагается организовать публикацию персонифицированной информации по сечениям экспорта-импорта на сайте ОРЭМ СО.</w:t>
            </w:r>
          </w:p>
          <w:p w:rsidR="00811B60" w:rsidRPr="00146F02" w:rsidRDefault="00811B60" w:rsidP="000762AA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 w:rsidRPr="00950582">
              <w:rPr>
                <w:rFonts w:ascii="Garamond" w:hAnsi="Garamond"/>
                <w:b/>
                <w:sz w:val="24"/>
                <w:szCs w:val="24"/>
              </w:rPr>
              <w:t>Дата вступления в силу: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марта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9</w:t>
            </w:r>
            <w:r w:rsidRPr="001E6790">
              <w:rPr>
                <w:rFonts w:ascii="Garamond" w:hAnsi="Garamond"/>
                <w:color w:val="000000"/>
                <w:sz w:val="24"/>
                <w:szCs w:val="24"/>
              </w:rPr>
              <w:t xml:space="preserve"> года.</w:t>
            </w:r>
          </w:p>
        </w:tc>
      </w:tr>
    </w:tbl>
    <w:p w:rsidR="00811B60" w:rsidRDefault="00811B60" w:rsidP="003D4F02">
      <w:pPr>
        <w:spacing w:after="0" w:line="240" w:lineRule="auto"/>
        <w:ind w:left="142"/>
        <w:jc w:val="both"/>
        <w:rPr>
          <w:rFonts w:ascii="Garamond" w:hAnsi="Garamond"/>
          <w:b/>
          <w:sz w:val="26"/>
          <w:szCs w:val="26"/>
        </w:rPr>
      </w:pPr>
    </w:p>
    <w:p w:rsidR="00811B60" w:rsidRDefault="00811B60" w:rsidP="003D4F02">
      <w:pPr>
        <w:spacing w:after="0" w:line="240" w:lineRule="auto"/>
        <w:ind w:left="142"/>
        <w:rPr>
          <w:rFonts w:ascii="Garamond" w:hAnsi="Garamond"/>
          <w:b/>
          <w:sz w:val="26"/>
          <w:szCs w:val="26"/>
        </w:rPr>
      </w:pPr>
      <w:r w:rsidRPr="00833928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ОПРЕДЕЛЕНИЯ ОБЪЕМОВ, ИНИЦИАТИВ И СТОИМОСТИ ОТКЛОНЕНИЙ (Приложение № 12 к Договору о присоединении к торговой системе оптового рынка)</w:t>
      </w:r>
    </w:p>
    <w:p w:rsidR="00811B60" w:rsidRPr="00833928" w:rsidRDefault="00811B60" w:rsidP="003D4F02">
      <w:pPr>
        <w:spacing w:after="0" w:line="240" w:lineRule="auto"/>
        <w:ind w:left="142"/>
        <w:jc w:val="both"/>
        <w:rPr>
          <w:rFonts w:ascii="Garamond" w:hAnsi="Garamond"/>
          <w:b/>
          <w:sz w:val="26"/>
          <w:szCs w:val="26"/>
        </w:rPr>
      </w:pPr>
    </w:p>
    <w:tbl>
      <w:tblPr>
        <w:tblW w:w="4975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6888"/>
        <w:gridCol w:w="6911"/>
      </w:tblGrid>
      <w:tr w:rsidR="00811B60" w:rsidRPr="00C10A0F" w:rsidTr="003E4BC0">
        <w:trPr>
          <w:trHeight w:val="435"/>
        </w:trPr>
        <w:tc>
          <w:tcPr>
            <w:tcW w:w="294" w:type="pct"/>
            <w:tcMar>
              <w:left w:w="57" w:type="dxa"/>
              <w:right w:w="57" w:type="dxa"/>
            </w:tcMar>
            <w:vAlign w:val="center"/>
          </w:tcPr>
          <w:p w:rsidR="00811B60" w:rsidRPr="00C10A0F" w:rsidRDefault="00811B60" w:rsidP="00B73AC5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C10A0F">
              <w:rPr>
                <w:rFonts w:ascii="Garamond" w:hAnsi="Garamond" w:cs="Garamond"/>
                <w:b/>
                <w:bCs/>
                <w:lang w:eastAsia="ru-RU"/>
              </w:rPr>
              <w:t>№</w:t>
            </w:r>
          </w:p>
          <w:p w:rsidR="00811B60" w:rsidRPr="00C10A0F" w:rsidRDefault="00811B60" w:rsidP="00B73AC5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C10A0F">
              <w:rPr>
                <w:rFonts w:ascii="Garamond" w:hAnsi="Garamond" w:cs="Garamond"/>
                <w:b/>
                <w:bCs/>
                <w:lang w:eastAsia="ru-RU"/>
              </w:rPr>
              <w:t>пункта</w:t>
            </w:r>
          </w:p>
        </w:tc>
        <w:tc>
          <w:tcPr>
            <w:tcW w:w="2349" w:type="pct"/>
            <w:vAlign w:val="center"/>
          </w:tcPr>
          <w:p w:rsidR="00811B60" w:rsidRPr="00C10A0F" w:rsidRDefault="00811B60" w:rsidP="00B73AC5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C10A0F">
              <w:rPr>
                <w:rFonts w:ascii="Garamond" w:hAnsi="Garamond" w:cs="Garamond"/>
                <w:b/>
                <w:bCs/>
                <w:lang w:eastAsia="ru-RU"/>
              </w:rPr>
              <w:t>Редакция, действующая на момент</w:t>
            </w:r>
          </w:p>
          <w:p w:rsidR="00811B60" w:rsidRPr="00C10A0F" w:rsidRDefault="00811B60" w:rsidP="00B73AC5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C10A0F">
              <w:rPr>
                <w:rFonts w:ascii="Garamond" w:hAnsi="Garamond" w:cs="Garamond"/>
                <w:b/>
                <w:bCs/>
                <w:lang w:eastAsia="ru-RU"/>
              </w:rPr>
              <w:t xml:space="preserve"> вступления в силу изменений</w:t>
            </w:r>
          </w:p>
        </w:tc>
        <w:tc>
          <w:tcPr>
            <w:tcW w:w="2357" w:type="pct"/>
            <w:vAlign w:val="center"/>
          </w:tcPr>
          <w:p w:rsidR="00811B60" w:rsidRPr="00C10A0F" w:rsidRDefault="00811B60" w:rsidP="00B73AC5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C10A0F">
              <w:rPr>
                <w:rFonts w:ascii="Garamond" w:hAnsi="Garamond" w:cs="Garamond"/>
                <w:b/>
                <w:bCs/>
                <w:lang w:eastAsia="ru-RU"/>
              </w:rPr>
              <w:t>Предлагаемая редакция</w:t>
            </w:r>
          </w:p>
          <w:p w:rsidR="00811B60" w:rsidRPr="00C10A0F" w:rsidRDefault="00811B60" w:rsidP="00B73AC5">
            <w:pPr>
              <w:spacing w:after="0" w:line="240" w:lineRule="auto"/>
              <w:jc w:val="center"/>
              <w:rPr>
                <w:rFonts w:ascii="Garamond" w:hAnsi="Garamond" w:cs="Garamond"/>
                <w:lang w:eastAsia="ru-RU"/>
              </w:rPr>
            </w:pPr>
            <w:r w:rsidRPr="00C10A0F">
              <w:rPr>
                <w:rFonts w:ascii="Garamond" w:hAnsi="Garamond" w:cs="Garamond"/>
                <w:lang w:eastAsia="ru-RU"/>
              </w:rPr>
              <w:t>(изменения выделены цветом)</w:t>
            </w:r>
          </w:p>
        </w:tc>
      </w:tr>
      <w:tr w:rsidR="00811B60" w:rsidRPr="00C10A0F" w:rsidTr="003E4BC0">
        <w:trPr>
          <w:trHeight w:val="435"/>
        </w:trPr>
        <w:tc>
          <w:tcPr>
            <w:tcW w:w="294" w:type="pct"/>
            <w:tcMar>
              <w:left w:w="57" w:type="dxa"/>
              <w:right w:w="57" w:type="dxa"/>
            </w:tcMar>
            <w:vAlign w:val="center"/>
          </w:tcPr>
          <w:p w:rsidR="00811B60" w:rsidRPr="00C10A0F" w:rsidRDefault="00811B60" w:rsidP="003E4BC0">
            <w:pPr>
              <w:widowControl w:val="0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C10A0F">
              <w:rPr>
                <w:rFonts w:ascii="Garamond" w:hAnsi="Garamond" w:cs="Garamond"/>
                <w:b/>
                <w:bCs/>
                <w:lang w:eastAsia="ru-RU"/>
              </w:rPr>
              <w:t>2.4.1</w:t>
            </w:r>
          </w:p>
        </w:tc>
        <w:tc>
          <w:tcPr>
            <w:tcW w:w="2349" w:type="pct"/>
          </w:tcPr>
          <w:p w:rsidR="00811B60" w:rsidRPr="00C10A0F" w:rsidRDefault="00811B60" w:rsidP="003E4BC0">
            <w:pPr>
              <w:pStyle w:val="4"/>
              <w:keepNext w:val="0"/>
              <w:tabs>
                <w:tab w:val="left" w:pos="708"/>
              </w:tabs>
              <w:spacing w:before="0" w:after="0"/>
              <w:ind w:firstLine="567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</w:pP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>2.4.1. Бизнес-процесс получения исходных данных для расчета величин отклонений по ГТП экспорта/импорта</w:t>
            </w:r>
          </w:p>
          <w:p w:rsidR="00811B60" w:rsidRPr="00C10A0F" w:rsidRDefault="00811B60" w:rsidP="003E4BC0">
            <w:pPr>
              <w:pStyle w:val="4"/>
              <w:keepNext w:val="0"/>
              <w:tabs>
                <w:tab w:val="left" w:pos="708"/>
              </w:tabs>
              <w:spacing w:before="0" w:after="0"/>
              <w:ind w:firstLine="567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</w:pP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>1) До 12 часов 15 минут по времени ценовой (неценовой) зоны торговых суток ДДПР передает соответствующим участникам и КО данные о плановых почасовых сальдо-объемах поставки по каждой ГТП экспорта/импорта, определенные ДДПР в соответствии с п. 5.5.3 Регламента подачи уведомлений участниками оптового рынка (Приложение № 4 к Договору о присоединении к торговой системе оптового рынка);</w:t>
            </w:r>
          </w:p>
          <w:p w:rsidR="00811B60" w:rsidRPr="00C10A0F" w:rsidRDefault="00811B60" w:rsidP="003E4BC0">
            <w:pPr>
              <w:pStyle w:val="4"/>
              <w:keepNext w:val="0"/>
              <w:tabs>
                <w:tab w:val="left" w:pos="708"/>
              </w:tabs>
              <w:spacing w:before="0" w:after="0"/>
              <w:ind w:firstLine="567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</w:pP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2) В течение 3 (трех) рабочих дней после окончания операционных суток СО определяет 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  <w:lang w:eastAsia="ru-RU"/>
              </w:rPr>
              <w:t>и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 передает ДДПР данные о составляющих величин отклонений, относимых на внешнюю инициативу, признак «оказания зарубежной энергосистемой взаимопомощи в режиме параллельной работы ЕЭС России и зарубежных энергосистем» в отношении сечений экспорта-импорта, расположенных на границах ценовых зон оптового рынка, данные о согласованных СО изменениях (относительно торгового графика) заданного графика сальдо перетоков по официальному запросу организации, осуществляющей функции оперативно-диспетчерского управления в зарубежной энергосистеме, оформленному в виде диспетчерской заявки на изменение планового сальдо перетоков по соответствующему сечению экспорта-импорта, а также объемы отклонений 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object w:dxaOrig="639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5pt;height:21.75pt" o:ole="">
                  <v:imagedata r:id="rId7" o:title=""/>
                </v:shape>
                <o:OLEObject Type="Embed" ProgID="Equation.3" ShapeID="_x0000_i1025" DrawAspect="Content" ObjectID="_1598873611" r:id="rId8"/>
              </w:objec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, определенные в соответствии с п. 5.5 Регламента 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lastRenderedPageBreak/>
              <w:t>проведения конкурентного отбора заявок для балансирования системы (Приложение № 10 к Договору о присоединении к торговой системе оптового рынка). При этом для сечения экспорта-импорта, включающего линии электропередачи, пересекающие границы ЕЭС России с несколькими зарубежными энергосистемами, СО согласовывает изменения сальдо перетоков по каждой зарубежной энергосистеме с последующим отнесением таких изменений к корректировке планового сальдо перетоков по сечению экспорта-импорта в целом;</w:t>
            </w:r>
          </w:p>
          <w:p w:rsidR="00811B60" w:rsidRPr="00C10A0F" w:rsidRDefault="00811B60" w:rsidP="003E4BC0">
            <w:pPr>
              <w:pStyle w:val="4"/>
              <w:keepNext w:val="0"/>
              <w:tabs>
                <w:tab w:val="left" w:pos="708"/>
              </w:tabs>
              <w:spacing w:before="0" w:after="0"/>
              <w:ind w:firstLine="567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</w:pP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3) В течение 2 (двух) рабочих дней с даты получения от СО в соответствии с подпунктом 2) п. 2.4.1 настоящего Регламента данных о составляющих величины отклонений, относимых на внешнюю инициативу по каждому сечению экспорта-импорта, ДДПР определяет величины фактических почасовых сальдо-объемов поставки по каждому сечению экспорта-импорта за операционные сутки и передает эти данные, а также данные о присвоении внешних инициатив и объемы отклонений 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object w:dxaOrig="639" w:dyaOrig="400">
                <v:shape id="_x0000_i1026" type="#_x0000_t75" style="width:28.55pt;height:21.75pt" o:ole="">
                  <v:imagedata r:id="rId7" o:title=""/>
                </v:shape>
                <o:OLEObject Type="Embed" ProgID="Equation.3" ShapeID="_x0000_i1026" DrawAspect="Content" ObjectID="_1598873612" r:id="rId9"/>
              </w:objec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, полученные от СО, в КО в электронном виде с применением электронной подписи. Для часов, в отношении которых СО передан ДДПР признак «оказания зарубежной энергосистемой взаимопомощи в режиме параллельной работы ЕЭС России и зарубежных энергосистем», объем отклонений, относимых на инициативу ИВ по сечению экспорта-импорта, расположенному на границе ценовой зоны оптового рынка, переданный СО, относится ДДПР к </w:t>
            </w:r>
            <w:r w:rsidR="005F6CC3">
              <w:rPr>
                <w:rFonts w:ascii="Garamond" w:hAnsi="Garamond"/>
                <w:b w:val="0"/>
                <w:noProof/>
                <w:color w:val="000000"/>
                <w:sz w:val="22"/>
                <w:szCs w:val="22"/>
                <w:lang w:eastAsia="ru-RU"/>
              </w:rPr>
              <w:pict>
                <v:shape id="_x0000_i1027" type="#_x0000_t75" style="width:47.55pt;height:17pt;visibility:visible">
                  <v:imagedata r:id="rId10" o:title=""/>
                </v:shape>
              </w:pic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(при этом эта величина </w:t>
            </w:r>
            <w:r w:rsidR="005F6CC3">
              <w:rPr>
                <w:rFonts w:ascii="Garamond" w:hAnsi="Garamond"/>
                <w:b w:val="0"/>
                <w:noProof/>
                <w:color w:val="000000"/>
                <w:sz w:val="22"/>
                <w:szCs w:val="22"/>
                <w:lang w:eastAsia="ru-RU"/>
              </w:rPr>
              <w:pict>
                <v:shape id="_x0000_i1028" type="#_x0000_t75" style="width:56.4pt;height:26.5pt;visibility:visible">
                  <v:imagedata r:id="rId11" o:title=""/>
                </v:shape>
              </w:pic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, полученная КО от ДДПР, является предварительной, окончательная величина отклонения, относимого на инициативу </w:t>
            </w:r>
            <w:r w:rsidR="005F6CC3">
              <w:rPr>
                <w:rFonts w:ascii="Garamond" w:hAnsi="Garamond"/>
                <w:b w:val="0"/>
                <w:noProof/>
                <w:color w:val="000000"/>
                <w:sz w:val="22"/>
                <w:szCs w:val="22"/>
                <w:lang w:eastAsia="ru-RU"/>
              </w:rPr>
              <w:pict>
                <v:shape id="_x0000_i1029" type="#_x0000_t75" style="width:23.75pt;height:17pt;visibility:visible">
                  <v:imagedata r:id="rId12" o:title=""/>
                </v:shape>
              </w:pic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 определяется КО в соответствии с п. 2.4.7 настоящего Регламента).</w:t>
            </w:r>
          </w:p>
          <w:p w:rsidR="00811B60" w:rsidRPr="00C10A0F" w:rsidRDefault="00811B60" w:rsidP="003E4BC0">
            <w:pPr>
              <w:pStyle w:val="4"/>
              <w:keepNext w:val="0"/>
              <w:tabs>
                <w:tab w:val="left" w:pos="708"/>
              </w:tabs>
              <w:spacing w:before="0" w:after="0"/>
              <w:ind w:firstLine="567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7" w:type="pct"/>
          </w:tcPr>
          <w:p w:rsidR="00811B60" w:rsidRPr="00C10A0F" w:rsidRDefault="00811B60" w:rsidP="003E4BC0">
            <w:pPr>
              <w:pStyle w:val="4"/>
              <w:keepNext w:val="0"/>
              <w:tabs>
                <w:tab w:val="left" w:pos="708"/>
              </w:tabs>
              <w:spacing w:before="0" w:after="0"/>
              <w:ind w:firstLine="567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</w:pP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lastRenderedPageBreak/>
              <w:t>2.4.1. Бизнес-процесс получения исходных данных для расчета величин отклонений по ГТП экспорта/импорта</w:t>
            </w:r>
          </w:p>
          <w:p w:rsidR="00811B60" w:rsidRPr="00C10A0F" w:rsidRDefault="00811B60" w:rsidP="003E4BC0">
            <w:pPr>
              <w:pStyle w:val="4"/>
              <w:keepNext w:val="0"/>
              <w:tabs>
                <w:tab w:val="left" w:pos="708"/>
              </w:tabs>
              <w:spacing w:before="0" w:after="0"/>
              <w:ind w:firstLine="567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</w:pP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>1) До 12 часов 15 минут по времени ценовой (неценовой) зоны торговых суток ДДПР передает соответствующим участникам и КО данные о плановых почасовых сальдо-объемах поставки по каждой ГТП экспорта/импорта, определенные ДДПР в соответствии с п. 5.5.3 Регламента подачи уведомлений участниками оптового рынка (Приложение № 4 к Договору о присоединении к торговой системе оптового рынка);</w:t>
            </w:r>
          </w:p>
          <w:p w:rsidR="00811B60" w:rsidRPr="00C10A0F" w:rsidRDefault="00811B60" w:rsidP="003E4BC0">
            <w:pPr>
              <w:pStyle w:val="4"/>
              <w:keepNext w:val="0"/>
              <w:tabs>
                <w:tab w:val="left" w:pos="708"/>
              </w:tabs>
              <w:spacing w:before="0" w:after="0"/>
              <w:ind w:firstLine="567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</w:pP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>2) В течение 3 (трех) рабочих дней после окончания операционных суток, СО определяет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  <w:lang w:eastAsia="ru-RU"/>
              </w:rPr>
              <w:t>,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 передает ДДПР 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  <w:lang w:eastAsia="ru-RU"/>
              </w:rPr>
              <w:t xml:space="preserve">и публикует для  </w:t>
            </w:r>
            <w:r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  <w:lang w:eastAsia="ru-RU"/>
              </w:rPr>
              <w:t>участника оптового рынка –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  <w:lang w:eastAsia="ru-RU"/>
              </w:rPr>
              <w:t xml:space="preserve"> организации, осуществляющей экспортно–импортные операции в ГТП, зарегистрированных на соответствующих сечениях экспорта-импорта, на  сайте ОРЭМ СО,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 данные о составляющих величин отклонений, относимых на внешнюю инициативу, признак «оказания зарубежной энергосистемой взаимопомощи в режиме параллельной работы ЕЭС России и зарубежных энергосистем» в отношении сечений экспорта-импорта, расположенных на границах ценовых зон оптового рынка, данные о согласованных СО изменениях (относительно торгового графика) заданного графика сальдо перетоков по официальному запросу организации, осуществляющей функции оперативно-диспетчерского управления в зарубежной энергосистеме, оформленному в виде диспетчерской заявки на изменение планового сальдо перетоков по 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lastRenderedPageBreak/>
              <w:t xml:space="preserve">соответствующему сечению экспорта-импорта, а также объемы отклонений 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object w:dxaOrig="639" w:dyaOrig="400">
                <v:shape id="_x0000_i1030" type="#_x0000_t75" style="width:28.55pt;height:21.75pt" o:ole="">
                  <v:imagedata r:id="rId7" o:title=""/>
                </v:shape>
                <o:OLEObject Type="Embed" ProgID="Equation.3" ShapeID="_x0000_i1030" DrawAspect="Content" ObjectID="_1598873613" r:id="rId13"/>
              </w:objec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>, определенные в соответствии с п. 5.5 Регламента проведения конкурентного отбора заявок для балансирования системы (Приложение № 10 к Договору о присоединении к торговой системе оптового рынка). При этом для сечения экспорта-импорта, включающего линии электропередачи, пересекающие границы ЕЭС России с несколькими зарубежными энергосистемами, СО согласовывает изменения сальдо перетоков по каждой зарубежной энергосистеме с последующим отнесением таких изменений к корректировке планового сальдо перетоков по сечению экспорта-импорта в целом;</w:t>
            </w:r>
          </w:p>
          <w:p w:rsidR="00811B60" w:rsidRPr="00C10A0F" w:rsidRDefault="00811B60" w:rsidP="003E4BC0">
            <w:pPr>
              <w:pStyle w:val="4"/>
              <w:keepNext w:val="0"/>
              <w:tabs>
                <w:tab w:val="left" w:pos="708"/>
              </w:tabs>
              <w:spacing w:before="0" w:after="0"/>
              <w:ind w:firstLine="567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</w:pP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3) В течение 2 (двух) рабочих дней с даты получения от СО в соответствии с подпунктом 2) п. 2.4.1 настоящего Регламента данных о составляющих величины отклонений, относимых на внешнюю инициативу по каждому сечению экспорта-импорта, ДДПР определяет величины фактических почасовых сальдо-объемов поставки по каждому сечению экспорта-импорта за операционные сутки и передает эти данные, а также данные о присвоении внешних инициатив и объемы отклонений </w: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object w:dxaOrig="639" w:dyaOrig="400">
                <v:shape id="_x0000_i1031" type="#_x0000_t75" style="width:28.55pt;height:21.75pt" o:ole="">
                  <v:imagedata r:id="rId7" o:title=""/>
                </v:shape>
                <o:OLEObject Type="Embed" ProgID="Equation.3" ShapeID="_x0000_i1031" DrawAspect="Content" ObjectID="_1598873614" r:id="rId14"/>
              </w:objec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, полученные от СО, в КО в электронном виде с применением электронной подписи. Для часов, в отношении которых СО передан ДДПР признак «оказания зарубежной энергосистемой взаимопомощи в режиме параллельной работы ЕЭС России и зарубежных энергосистем», объем отклонений, относимых на инициативу ИВ по сечению экспорта-импорта, расположенному на границе ценовой зоны оптового рынка, переданный СО, относится ДДПР к </w:t>
            </w:r>
            <w:r w:rsidR="005F6CC3">
              <w:rPr>
                <w:rFonts w:ascii="Garamond" w:hAnsi="Garamond"/>
                <w:b w:val="0"/>
                <w:noProof/>
                <w:color w:val="000000"/>
                <w:sz w:val="22"/>
                <w:szCs w:val="22"/>
                <w:lang w:eastAsia="ru-RU"/>
              </w:rPr>
              <w:pict>
                <v:shape id="_x0000_i1032" type="#_x0000_t75" style="width:47.55pt;height:17pt;visibility:visible">
                  <v:imagedata r:id="rId10" o:title=""/>
                </v:shape>
              </w:pic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(при этом эта величина </w:t>
            </w:r>
            <w:r w:rsidR="005F6CC3">
              <w:rPr>
                <w:rFonts w:ascii="Garamond" w:hAnsi="Garamond"/>
                <w:b w:val="0"/>
                <w:noProof/>
                <w:color w:val="000000"/>
                <w:sz w:val="22"/>
                <w:szCs w:val="22"/>
                <w:lang w:eastAsia="ru-RU"/>
              </w:rPr>
              <w:pict>
                <v:shape id="_x0000_i1033" type="#_x0000_t75" style="width:56.4pt;height:26.5pt;visibility:visible">
                  <v:imagedata r:id="rId11" o:title=""/>
                </v:shape>
              </w:pic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, полученная КО от ДДПР, является предварительной, окончательная величина отклонения, относимого на инициативу </w:t>
            </w:r>
            <w:r w:rsidR="005F6CC3">
              <w:rPr>
                <w:rFonts w:ascii="Garamond" w:hAnsi="Garamond"/>
                <w:b w:val="0"/>
                <w:noProof/>
                <w:color w:val="000000"/>
                <w:sz w:val="22"/>
                <w:szCs w:val="22"/>
                <w:lang w:eastAsia="ru-RU"/>
              </w:rPr>
              <w:pict>
                <v:shape id="_x0000_i1034" type="#_x0000_t75" style="width:23.75pt;height:17pt;visibility:visible">
                  <v:imagedata r:id="rId12" o:title=""/>
                </v:shape>
              </w:pict>
            </w:r>
            <w:r w:rsidRPr="00C10A0F">
              <w:rPr>
                <w:rFonts w:ascii="Garamond" w:hAnsi="Garamond"/>
                <w:b w:val="0"/>
                <w:color w:val="000000"/>
                <w:sz w:val="22"/>
                <w:szCs w:val="22"/>
                <w:lang w:eastAsia="ru-RU"/>
              </w:rPr>
              <w:t xml:space="preserve"> определяется КО в соответствии с п. 2.4.7 настоящего Регламента).</w:t>
            </w:r>
            <w:r w:rsidRPr="00C10A0F">
              <w:rPr>
                <w:rFonts w:ascii="Garamond" w:hAnsi="Garamond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</w:tr>
    </w:tbl>
    <w:p w:rsidR="005F6CC3" w:rsidRDefault="005F6CC3" w:rsidP="003E4BC0">
      <w:pPr>
        <w:widowControl w:val="0"/>
        <w:rPr>
          <w:rFonts w:ascii="Garamond" w:hAnsi="Garamond"/>
          <w:b/>
          <w:sz w:val="26"/>
          <w:szCs w:val="26"/>
        </w:rPr>
      </w:pPr>
    </w:p>
    <w:p w:rsidR="00811B60" w:rsidRPr="00382505" w:rsidRDefault="00811B60" w:rsidP="003E4BC0">
      <w:pPr>
        <w:widowControl w:val="0"/>
        <w:rPr>
          <w:rFonts w:ascii="Garamond" w:hAnsi="Garamond"/>
          <w:b/>
          <w:sz w:val="26"/>
          <w:szCs w:val="26"/>
        </w:rPr>
      </w:pPr>
      <w:bookmarkStart w:id="1" w:name="_GoBack"/>
      <w:bookmarkEnd w:id="1"/>
      <w:r w:rsidRPr="00382505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Pr="00B73AC5">
        <w:rPr>
          <w:rFonts w:ascii="Garamond" w:hAnsi="Garamond"/>
          <w:b/>
          <w:caps/>
          <w:sz w:val="26"/>
          <w:szCs w:val="26"/>
        </w:rPr>
        <w:t>Регламент покупки/продажи электроэнергии участниками оптового рынка для дальнейшего использования в целях экспорта/импорта в зарубежные энергосистемы</w:t>
      </w:r>
      <w:r>
        <w:rPr>
          <w:rFonts w:ascii="Garamond" w:hAnsi="Garamond"/>
          <w:b/>
          <w:sz w:val="26"/>
          <w:szCs w:val="26"/>
        </w:rPr>
        <w:t xml:space="preserve"> (Приложение № 15 к Договору о </w:t>
      </w:r>
      <w:r w:rsidRPr="00382505">
        <w:rPr>
          <w:rFonts w:ascii="Garamond" w:hAnsi="Garamond"/>
          <w:b/>
          <w:sz w:val="26"/>
          <w:szCs w:val="26"/>
        </w:rPr>
        <w:t>присоединении к</w:t>
      </w:r>
      <w:r>
        <w:rPr>
          <w:rFonts w:ascii="Garamond" w:hAnsi="Garamond"/>
          <w:b/>
          <w:sz w:val="26"/>
          <w:szCs w:val="26"/>
        </w:rPr>
        <w:t> </w:t>
      </w:r>
      <w:r w:rsidRPr="00382505">
        <w:rPr>
          <w:rFonts w:ascii="Garamond" w:hAnsi="Garamond"/>
          <w:b/>
          <w:sz w:val="26"/>
          <w:szCs w:val="26"/>
        </w:rPr>
        <w:t>торговой системе оптового рынка)</w:t>
      </w:r>
    </w:p>
    <w:tbl>
      <w:tblPr>
        <w:tblW w:w="4975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6430"/>
        <w:gridCol w:w="7369"/>
      </w:tblGrid>
      <w:tr w:rsidR="00811B60" w:rsidRPr="002D5EF5" w:rsidTr="003E4BC0">
        <w:trPr>
          <w:trHeight w:val="435"/>
        </w:trPr>
        <w:tc>
          <w:tcPr>
            <w:tcW w:w="294" w:type="pct"/>
            <w:tcMar>
              <w:left w:w="57" w:type="dxa"/>
              <w:right w:w="57" w:type="dxa"/>
            </w:tcMar>
            <w:vAlign w:val="center"/>
          </w:tcPr>
          <w:p w:rsidR="00811B60" w:rsidRPr="002D5EF5" w:rsidRDefault="00811B60" w:rsidP="003E4BC0">
            <w:pPr>
              <w:widowControl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lastRenderedPageBreak/>
              <w:t>№</w:t>
            </w:r>
          </w:p>
          <w:p w:rsidR="00811B60" w:rsidRPr="002D5EF5" w:rsidRDefault="00811B60" w:rsidP="003E4BC0">
            <w:pPr>
              <w:widowControl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>пункта</w:t>
            </w:r>
          </w:p>
        </w:tc>
        <w:tc>
          <w:tcPr>
            <w:tcW w:w="2193" w:type="pct"/>
            <w:vAlign w:val="center"/>
          </w:tcPr>
          <w:p w:rsidR="00811B60" w:rsidRPr="002D5EF5" w:rsidRDefault="00811B60" w:rsidP="003E4BC0">
            <w:pPr>
              <w:widowControl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>Редакция, действующая на момент</w:t>
            </w:r>
          </w:p>
          <w:p w:rsidR="00811B60" w:rsidRPr="002D5EF5" w:rsidRDefault="00811B60" w:rsidP="003E4BC0">
            <w:pPr>
              <w:widowControl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 xml:space="preserve"> вступления в силу изменений</w:t>
            </w:r>
          </w:p>
        </w:tc>
        <w:tc>
          <w:tcPr>
            <w:tcW w:w="2513" w:type="pct"/>
            <w:vAlign w:val="center"/>
          </w:tcPr>
          <w:p w:rsidR="00811B60" w:rsidRPr="002D5EF5" w:rsidRDefault="00811B60" w:rsidP="003E4BC0">
            <w:pPr>
              <w:widowControl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>Предлагаемая редакция</w:t>
            </w:r>
          </w:p>
          <w:p w:rsidR="00811B60" w:rsidRPr="002D5EF5" w:rsidRDefault="00811B60" w:rsidP="003E4BC0">
            <w:pPr>
              <w:widowControl w:val="0"/>
              <w:spacing w:after="0" w:line="240" w:lineRule="auto"/>
              <w:jc w:val="center"/>
              <w:rPr>
                <w:rFonts w:ascii="Garamond" w:hAnsi="Garamond" w:cs="Garamond"/>
                <w:lang w:eastAsia="ru-RU"/>
              </w:rPr>
            </w:pPr>
            <w:r w:rsidRPr="002D5EF5">
              <w:rPr>
                <w:rFonts w:ascii="Garamond" w:hAnsi="Garamond" w:cs="Garamond"/>
                <w:lang w:eastAsia="ru-RU"/>
              </w:rPr>
              <w:t>(изменения выделены цветом)</w:t>
            </w:r>
          </w:p>
        </w:tc>
      </w:tr>
      <w:tr w:rsidR="00811B60" w:rsidRPr="002D5EF5" w:rsidTr="003E4BC0">
        <w:trPr>
          <w:trHeight w:val="346"/>
        </w:trPr>
        <w:tc>
          <w:tcPr>
            <w:tcW w:w="294" w:type="pct"/>
            <w:tcMar>
              <w:left w:w="57" w:type="dxa"/>
              <w:right w:w="57" w:type="dxa"/>
            </w:tcMar>
            <w:vAlign w:val="center"/>
          </w:tcPr>
          <w:p w:rsidR="00811B60" w:rsidRPr="002D5EF5" w:rsidRDefault="00811B60" w:rsidP="003E4BC0">
            <w:pPr>
              <w:widowControl w:val="0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>7.4</w:t>
            </w:r>
          </w:p>
        </w:tc>
        <w:tc>
          <w:tcPr>
            <w:tcW w:w="2193" w:type="pct"/>
          </w:tcPr>
          <w:p w:rsidR="00811B60" w:rsidRPr="002D5EF5" w:rsidRDefault="00811B60" w:rsidP="003E4BC0">
            <w:pPr>
              <w:widowControl w:val="0"/>
              <w:ind w:left="175" w:firstLine="284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  <w:p w:rsidR="00811B60" w:rsidRPr="002D5EF5" w:rsidRDefault="00811B60" w:rsidP="003E4BC0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175" w:firstLine="284"/>
              <w:jc w:val="both"/>
              <w:rPr>
                <w:rFonts w:ascii="Garamond" w:hAnsi="Garamond"/>
              </w:rPr>
            </w:pPr>
            <w:r w:rsidRPr="002D5EF5">
              <w:rPr>
                <w:rFonts w:ascii="Garamond" w:hAnsi="Garamond"/>
              </w:rPr>
              <w:t>о фактических часах прекращения действия режима, при котором отдельные энергорайоны на территории России работают изолированно от ЕЭС России (при отключении всех электрических связей с ЕЭС России) параллельно с зарубежной энергосистемой или ее частью и который был учтен в актуализированной расчетной модели;</w:t>
            </w:r>
          </w:p>
          <w:p w:rsidR="00811B60" w:rsidRPr="003E4BC0" w:rsidRDefault="00811B60" w:rsidP="003E4BC0">
            <w:pPr>
              <w:pStyle w:val="subsubclauseindent"/>
              <w:widowControl w:val="0"/>
              <w:numPr>
                <w:ilvl w:val="0"/>
                <w:numId w:val="16"/>
              </w:numPr>
              <w:ind w:left="0" w:firstLine="468"/>
              <w:rPr>
                <w:rFonts w:ascii="Garamond" w:hAnsi="Garamond"/>
                <w:szCs w:val="22"/>
                <w:lang w:val="ru-RU"/>
              </w:rPr>
            </w:pPr>
            <w:r w:rsidRPr="00845A1F">
              <w:rPr>
                <w:rFonts w:ascii="Garamond" w:hAnsi="Garamond"/>
                <w:szCs w:val="22"/>
                <w:lang w:val="ru-RU"/>
              </w:rPr>
              <w:t>о часах, в которых зарегистрировано фактическое возникновение вышеуказанного режима в случае, если он не был учтен в актуализированной расчетной модели, но возник в реальном времени.</w:t>
            </w:r>
          </w:p>
        </w:tc>
        <w:tc>
          <w:tcPr>
            <w:tcW w:w="2513" w:type="pct"/>
          </w:tcPr>
          <w:p w:rsidR="00811B60" w:rsidRPr="002D5EF5" w:rsidRDefault="00811B60" w:rsidP="003E4BC0">
            <w:pPr>
              <w:widowControl w:val="0"/>
              <w:ind w:left="175"/>
              <w:jc w:val="both"/>
              <w:rPr>
                <w:rFonts w:ascii="Garamond" w:hAnsi="Garamond"/>
              </w:rPr>
            </w:pPr>
            <w:r w:rsidRPr="002D5EF5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…</w:t>
            </w:r>
          </w:p>
          <w:p w:rsidR="00811B60" w:rsidRPr="002D5EF5" w:rsidRDefault="00811B60" w:rsidP="003E4BC0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175" w:firstLine="284"/>
              <w:jc w:val="both"/>
              <w:rPr>
                <w:rFonts w:ascii="Garamond" w:hAnsi="Garamond"/>
              </w:rPr>
            </w:pPr>
            <w:r w:rsidRPr="002D5EF5">
              <w:rPr>
                <w:rFonts w:ascii="Garamond" w:hAnsi="Garamond"/>
              </w:rPr>
              <w:t xml:space="preserve"> о фактических часах прекращения действия режима, при котором отдельные энергорайоны на территории России работают изолированно от ЕЭС России (при отключении всех электрических связей с ЕЭС России) параллельно с зарубежной энергосистемой или ее частью и который был учтен в актуализированной расчетной модели;</w:t>
            </w:r>
          </w:p>
          <w:p w:rsidR="00811B60" w:rsidRPr="003C5E9F" w:rsidRDefault="00811B60" w:rsidP="003E4BC0">
            <w:pPr>
              <w:pStyle w:val="subsubclauseindent"/>
              <w:widowControl w:val="0"/>
              <w:numPr>
                <w:ilvl w:val="0"/>
                <w:numId w:val="16"/>
              </w:numPr>
              <w:ind w:left="142" w:firstLine="284"/>
              <w:rPr>
                <w:rFonts w:ascii="Garamond" w:hAnsi="Garamond"/>
                <w:b/>
                <w:color w:val="000000"/>
                <w:sz w:val="24"/>
                <w:szCs w:val="24"/>
                <w:lang w:val="ru-RU" w:eastAsia="ru-RU"/>
              </w:rPr>
            </w:pPr>
            <w:r w:rsidRPr="004B1801">
              <w:rPr>
                <w:rFonts w:ascii="Garamond" w:hAnsi="Garamond"/>
                <w:szCs w:val="22"/>
                <w:lang w:val="ru-RU"/>
              </w:rPr>
              <w:t>о часах, в которых зарегистрировано фактическое возникновение вышеуказанного режима в случае, если он не был учтен в актуализированной расчетной модели, но возник в реальном времени.</w:t>
            </w:r>
          </w:p>
          <w:p w:rsidR="00811B60" w:rsidRPr="0083514E" w:rsidRDefault="00811B60" w:rsidP="003E4BC0">
            <w:pPr>
              <w:widowControl w:val="0"/>
              <w:ind w:left="175"/>
              <w:jc w:val="both"/>
              <w:rPr>
                <w:rFonts w:ascii="Garamond" w:hAnsi="Garamond"/>
                <w:color w:val="000000"/>
                <w:highlight w:val="yellow"/>
                <w:lang w:eastAsia="ru-RU"/>
              </w:rPr>
            </w:pPr>
            <w:r w:rsidRPr="002D5EF5">
              <w:rPr>
                <w:rFonts w:ascii="Garamond" w:hAnsi="Garamond"/>
                <w:highlight w:val="yellow"/>
              </w:rPr>
              <w:t>Данна</w:t>
            </w:r>
            <w:r>
              <w:rPr>
                <w:rFonts w:ascii="Garamond" w:hAnsi="Garamond"/>
                <w:highlight w:val="yellow"/>
              </w:rPr>
              <w:t>я информация публикуется СО для</w:t>
            </w:r>
            <w:r>
              <w:rPr>
                <w:rFonts w:ascii="Garamond" w:hAnsi="Garamond"/>
                <w:bCs/>
                <w:color w:val="000000"/>
                <w:highlight w:val="yellow"/>
                <w:lang w:eastAsia="ru-RU"/>
              </w:rPr>
              <w:t xml:space="preserve"> участника оптового рынка –</w:t>
            </w:r>
            <w:r w:rsidRPr="002D5EF5">
              <w:rPr>
                <w:rFonts w:ascii="Garamond" w:hAnsi="Garamond"/>
                <w:bCs/>
                <w:color w:val="000000"/>
                <w:highlight w:val="yellow"/>
                <w:lang w:eastAsia="ru-RU"/>
              </w:rPr>
              <w:t xml:space="preserve"> организации, осуществляющей экспортно–импортные операции </w:t>
            </w:r>
            <w:r w:rsidRPr="002D5EF5">
              <w:rPr>
                <w:rFonts w:ascii="Garamond" w:hAnsi="Garamond"/>
                <w:color w:val="000000"/>
                <w:highlight w:val="yellow"/>
                <w:lang w:eastAsia="ru-RU"/>
              </w:rPr>
              <w:t>в ГТП, зарегистрированных на соответствующих сечениях экспорта-импорта, на сайте ОРЭМ СО.</w:t>
            </w:r>
          </w:p>
        </w:tc>
      </w:tr>
      <w:tr w:rsidR="00811B60" w:rsidRPr="002D5EF5" w:rsidTr="003E4BC0">
        <w:trPr>
          <w:trHeight w:val="4322"/>
        </w:trPr>
        <w:tc>
          <w:tcPr>
            <w:tcW w:w="294" w:type="pct"/>
            <w:tcMar>
              <w:left w:w="57" w:type="dxa"/>
              <w:right w:w="57" w:type="dxa"/>
            </w:tcMar>
            <w:vAlign w:val="center"/>
          </w:tcPr>
          <w:p w:rsidR="00811B60" w:rsidRPr="002D5EF5" w:rsidRDefault="00811B60" w:rsidP="003E4BC0">
            <w:pPr>
              <w:widowControl w:val="0"/>
              <w:jc w:val="center"/>
              <w:rPr>
                <w:rFonts w:ascii="Garamond" w:hAnsi="Garamond" w:cs="Garamond"/>
                <w:b/>
                <w:bCs/>
                <w:lang w:eastAsia="ru-RU"/>
              </w:rPr>
            </w:pPr>
            <w:r w:rsidRPr="002D5EF5">
              <w:rPr>
                <w:rFonts w:ascii="Garamond" w:hAnsi="Garamond" w:cs="Garamond"/>
                <w:b/>
                <w:bCs/>
                <w:lang w:eastAsia="ru-RU"/>
              </w:rPr>
              <w:t>8.3</w:t>
            </w:r>
          </w:p>
        </w:tc>
        <w:tc>
          <w:tcPr>
            <w:tcW w:w="2193" w:type="pct"/>
          </w:tcPr>
          <w:p w:rsidR="00811B60" w:rsidRPr="00407B9F" w:rsidRDefault="00811B60" w:rsidP="003E4BC0">
            <w:pPr>
              <w:pStyle w:val="subsubclauseindent"/>
              <w:widowControl w:val="0"/>
              <w:ind w:left="0" w:firstLine="468"/>
              <w:rPr>
                <w:rFonts w:ascii="Garamond" w:hAnsi="Garamond"/>
                <w:szCs w:val="22"/>
                <w:lang w:val="ru-RU"/>
              </w:rPr>
            </w:pPr>
            <w:r w:rsidRPr="00CF7812">
              <w:rPr>
                <w:rFonts w:ascii="Garamond" w:hAnsi="Garamond"/>
                <w:szCs w:val="22"/>
                <w:lang w:val="ru-RU"/>
              </w:rPr>
              <w:t>8.3. Наличие режима поставки электроэнергии по сечениям экспорта-импорта, зарегистрированным на границах ценовых зон оптового рынка, в рамках оказания взаимопомощи в режиме параллельной работы ЕЭС России и зарубежных энергосистем в случаях, указанных в</w:t>
            </w:r>
            <w:r>
              <w:rPr>
                <w:rFonts w:ascii="Garamond" w:hAnsi="Garamond"/>
                <w:szCs w:val="22"/>
                <w:lang w:val="ru-RU"/>
              </w:rPr>
              <w:t xml:space="preserve"> п. 8.1 настоящего Регламента, </w:t>
            </w:r>
            <w:r w:rsidRPr="00CF7812">
              <w:rPr>
                <w:rFonts w:ascii="Garamond" w:hAnsi="Garamond"/>
                <w:szCs w:val="22"/>
                <w:lang w:val="ru-RU"/>
              </w:rPr>
              <w:t>регистрируе</w:t>
            </w:r>
            <w:r>
              <w:rPr>
                <w:rFonts w:ascii="Garamond" w:hAnsi="Garamond"/>
                <w:szCs w:val="22"/>
                <w:lang w:val="ru-RU"/>
              </w:rPr>
              <w:t xml:space="preserve">тся Системным оператором путем регистрации </w:t>
            </w:r>
            <w:r w:rsidRPr="00CF7812">
              <w:rPr>
                <w:rFonts w:ascii="Garamond" w:hAnsi="Garamond"/>
                <w:szCs w:val="22"/>
                <w:lang w:val="ru-RU"/>
              </w:rPr>
              <w:t xml:space="preserve">отклонения по внешней инициативе в соответствии с п. 2.2 </w:t>
            </w:r>
            <w:r>
              <w:rPr>
                <w:rFonts w:ascii="Garamond" w:hAnsi="Garamond"/>
                <w:i/>
                <w:szCs w:val="22"/>
                <w:lang w:val="ru-RU"/>
              </w:rPr>
              <w:t>Регламента определения объе</w:t>
            </w:r>
            <w:r w:rsidRPr="00CF7812">
              <w:rPr>
                <w:rFonts w:ascii="Garamond" w:hAnsi="Garamond"/>
                <w:i/>
                <w:szCs w:val="22"/>
                <w:lang w:val="ru-RU"/>
              </w:rPr>
              <w:t>мов, инициатив и стоимости отклонений</w:t>
            </w:r>
            <w:r w:rsidRPr="00CF7812">
              <w:rPr>
                <w:rFonts w:ascii="Garamond" w:hAnsi="Garamond"/>
                <w:szCs w:val="22"/>
                <w:lang w:val="ru-RU"/>
              </w:rPr>
              <w:t xml:space="preserve"> (Приложение № 12 к </w:t>
            </w:r>
            <w:r w:rsidRPr="00CF7812">
              <w:rPr>
                <w:rFonts w:ascii="Garamond" w:hAnsi="Garamond"/>
                <w:i/>
                <w:szCs w:val="22"/>
                <w:lang w:val="ru-RU"/>
              </w:rPr>
              <w:t>Договору о присоединении к торговой системе оптового рынка</w:t>
            </w:r>
            <w:r w:rsidRPr="00CF7812">
              <w:rPr>
                <w:rFonts w:ascii="Garamond" w:hAnsi="Garamond"/>
                <w:szCs w:val="22"/>
                <w:lang w:val="ru-RU"/>
              </w:rPr>
              <w:t>) и признака «оказания зарубежной энергосистемой взаимопомощи в режиме параллельной работы ЕЭС Росс</w:t>
            </w:r>
            <w:r>
              <w:rPr>
                <w:rFonts w:ascii="Garamond" w:hAnsi="Garamond"/>
                <w:szCs w:val="22"/>
                <w:lang w:val="ru-RU"/>
              </w:rPr>
              <w:t xml:space="preserve">ии и зарубежных энергосистем». </w:t>
            </w:r>
            <w:r w:rsidRPr="00CF7812">
              <w:rPr>
                <w:rFonts w:ascii="Garamond" w:hAnsi="Garamond"/>
                <w:szCs w:val="22"/>
                <w:lang w:val="ru-RU"/>
              </w:rPr>
              <w:t xml:space="preserve">В соответствии с п. 2.4.1 </w:t>
            </w:r>
            <w:r>
              <w:rPr>
                <w:rFonts w:ascii="Garamond" w:hAnsi="Garamond"/>
                <w:i/>
                <w:szCs w:val="22"/>
                <w:lang w:val="ru-RU"/>
              </w:rPr>
              <w:t>Регламента определения объе</w:t>
            </w:r>
            <w:r w:rsidRPr="00CF7812">
              <w:rPr>
                <w:rFonts w:ascii="Garamond" w:hAnsi="Garamond"/>
                <w:i/>
                <w:szCs w:val="22"/>
                <w:lang w:val="ru-RU"/>
              </w:rPr>
              <w:t>мов, инициатив и стоимости отклонений</w:t>
            </w:r>
            <w:r w:rsidRPr="00CF7812">
              <w:rPr>
                <w:rFonts w:ascii="Garamond" w:hAnsi="Garamond"/>
                <w:szCs w:val="22"/>
                <w:lang w:val="ru-RU"/>
              </w:rPr>
              <w:t xml:space="preserve"> (Приложение № 12 к </w:t>
            </w:r>
            <w:r w:rsidRPr="00CF7812">
              <w:rPr>
                <w:rFonts w:ascii="Garamond" w:hAnsi="Garamond"/>
                <w:i/>
                <w:szCs w:val="22"/>
                <w:lang w:val="ru-RU"/>
              </w:rPr>
              <w:t>Договору о присоединении к торговой системе оптового рынка</w:t>
            </w:r>
            <w:r w:rsidRPr="00CF7812">
              <w:rPr>
                <w:rFonts w:ascii="Garamond" w:hAnsi="Garamond"/>
                <w:szCs w:val="22"/>
                <w:lang w:val="ru-RU"/>
              </w:rPr>
              <w:t>) у</w:t>
            </w:r>
            <w:r>
              <w:rPr>
                <w:rFonts w:ascii="Garamond" w:hAnsi="Garamond"/>
                <w:szCs w:val="22"/>
                <w:lang w:val="ru-RU"/>
              </w:rPr>
              <w:t xml:space="preserve">казанные данные представляются </w:t>
            </w:r>
            <w:r w:rsidRPr="00CF7812">
              <w:rPr>
                <w:rFonts w:ascii="Garamond" w:hAnsi="Garamond"/>
                <w:szCs w:val="22"/>
                <w:lang w:val="ru-RU"/>
              </w:rPr>
              <w:t xml:space="preserve">ДДПР. </w:t>
            </w:r>
          </w:p>
        </w:tc>
        <w:tc>
          <w:tcPr>
            <w:tcW w:w="2513" w:type="pct"/>
          </w:tcPr>
          <w:p w:rsidR="00811B60" w:rsidRPr="002D5EF5" w:rsidRDefault="00811B60" w:rsidP="003E4BC0">
            <w:pPr>
              <w:widowControl w:val="0"/>
              <w:ind w:left="175"/>
              <w:jc w:val="both"/>
              <w:rPr>
                <w:rFonts w:ascii="Garamond" w:hAnsi="Garamond"/>
              </w:rPr>
            </w:pPr>
            <w:r w:rsidRPr="002D5EF5">
              <w:rPr>
                <w:rFonts w:ascii="Garamond" w:hAnsi="Garamond"/>
              </w:rPr>
              <w:t xml:space="preserve">8.3. Наличие режима поставки электроэнергии по сечениям экспорта-импорта, зарегистрированным на границах ценовых зон оптового рынка, в рамках оказания взаимопомощи в режиме параллельной работы ЕЭС России и зарубежных энергосистем в случаях, указанных в п. 8.1 настоящего Регламента, регистрируется Системным оператором путем регистрации отклонения по внешней инициативе в соответствии с п. 2.2 </w:t>
            </w:r>
            <w:r w:rsidRPr="002D5EF5">
              <w:rPr>
                <w:rFonts w:ascii="Garamond" w:hAnsi="Garamond"/>
                <w:i/>
              </w:rPr>
              <w:t>Регламента определения объемов, инициатив и стоимости отклонений</w:t>
            </w:r>
            <w:r w:rsidRPr="002D5EF5">
              <w:rPr>
                <w:rFonts w:ascii="Garamond" w:hAnsi="Garamond"/>
              </w:rPr>
              <w:t xml:space="preserve"> (Приложение № 12 к </w:t>
            </w:r>
            <w:r w:rsidRPr="002D5EF5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2D5EF5">
              <w:rPr>
                <w:rFonts w:ascii="Garamond" w:hAnsi="Garamond"/>
              </w:rPr>
              <w:t xml:space="preserve">) и признака «оказания зарубежной энергосистемой взаимопомощи в режиме параллельной работы ЕЭС России и зарубежных энергосистем». В соответствии с п. 2.4.1 </w:t>
            </w:r>
            <w:r w:rsidRPr="002D5EF5">
              <w:rPr>
                <w:rFonts w:ascii="Garamond" w:hAnsi="Garamond"/>
                <w:i/>
              </w:rPr>
              <w:t>Регламента определения объемов, инициатив и стоимости отклонений</w:t>
            </w:r>
            <w:r w:rsidRPr="002D5EF5">
              <w:rPr>
                <w:rFonts w:ascii="Garamond" w:hAnsi="Garamond"/>
              </w:rPr>
              <w:t xml:space="preserve"> (Приложение № 12 к </w:t>
            </w:r>
            <w:r w:rsidRPr="002D5EF5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2D5EF5">
              <w:rPr>
                <w:rFonts w:ascii="Garamond" w:hAnsi="Garamond"/>
              </w:rPr>
              <w:t>) указанные данные представляются ДДПР.</w:t>
            </w:r>
          </w:p>
          <w:p w:rsidR="00811B60" w:rsidRPr="002D5EF5" w:rsidRDefault="00811B60" w:rsidP="003E4BC0">
            <w:pPr>
              <w:widowControl w:val="0"/>
              <w:ind w:left="175"/>
              <w:jc w:val="both"/>
              <w:rPr>
                <w:rFonts w:ascii="Garamond" w:hAnsi="Garamond"/>
              </w:rPr>
            </w:pPr>
            <w:r w:rsidRPr="002D5EF5">
              <w:rPr>
                <w:rFonts w:ascii="Garamond" w:hAnsi="Garamond"/>
                <w:highlight w:val="yellow"/>
              </w:rPr>
              <w:t>Данная информация публикуется СО для</w:t>
            </w:r>
            <w:r>
              <w:rPr>
                <w:rFonts w:ascii="Garamond" w:hAnsi="Garamond"/>
                <w:bCs/>
                <w:color w:val="000000"/>
                <w:highlight w:val="yellow"/>
                <w:lang w:eastAsia="ru-RU"/>
              </w:rPr>
              <w:t xml:space="preserve"> участника оптового рынка –</w:t>
            </w:r>
            <w:r w:rsidRPr="002D5EF5">
              <w:rPr>
                <w:rFonts w:ascii="Garamond" w:hAnsi="Garamond"/>
                <w:bCs/>
                <w:color w:val="000000"/>
                <w:highlight w:val="yellow"/>
                <w:lang w:eastAsia="ru-RU"/>
              </w:rPr>
              <w:t xml:space="preserve"> организации, осуществляющей экспортно–импортные операции </w:t>
            </w:r>
            <w:r w:rsidRPr="002D5EF5">
              <w:rPr>
                <w:rFonts w:ascii="Garamond" w:hAnsi="Garamond"/>
                <w:color w:val="000000"/>
                <w:highlight w:val="yellow"/>
                <w:lang w:eastAsia="ru-RU"/>
              </w:rPr>
              <w:t>в ГТП, зарегистрированных на соответствующих сечениях экспорта-импорта на сайте ОРЭМ СО.</w:t>
            </w:r>
          </w:p>
        </w:tc>
      </w:tr>
    </w:tbl>
    <w:p w:rsidR="00811B60" w:rsidRPr="00BE20E8" w:rsidRDefault="00811B60" w:rsidP="003E4BC0">
      <w:pPr>
        <w:widowControl w:val="0"/>
        <w:rPr>
          <w:rFonts w:ascii="Garamond" w:hAnsi="Garamond"/>
          <w:b/>
          <w:sz w:val="24"/>
          <w:szCs w:val="24"/>
        </w:rPr>
      </w:pPr>
    </w:p>
    <w:sectPr w:rsidR="00811B60" w:rsidRPr="00BE20E8" w:rsidSect="00E7560B">
      <w:headerReference w:type="default" r:id="rId15"/>
      <w:pgSz w:w="16838" w:h="11906" w:orient="landscape"/>
      <w:pgMar w:top="1276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B60" w:rsidRDefault="00811B60" w:rsidP="004E0D7A">
      <w:pPr>
        <w:spacing w:after="0" w:line="240" w:lineRule="auto"/>
      </w:pPr>
      <w:r>
        <w:separator/>
      </w:r>
    </w:p>
  </w:endnote>
  <w:endnote w:type="continuationSeparator" w:id="0">
    <w:p w:rsidR="00811B60" w:rsidRDefault="00811B60" w:rsidP="004E0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B60" w:rsidRDefault="00811B60" w:rsidP="004E0D7A">
      <w:pPr>
        <w:spacing w:after="0" w:line="240" w:lineRule="auto"/>
      </w:pPr>
      <w:r>
        <w:separator/>
      </w:r>
    </w:p>
  </w:footnote>
  <w:footnote w:type="continuationSeparator" w:id="0">
    <w:p w:rsidR="00811B60" w:rsidRDefault="00811B60" w:rsidP="004E0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60" w:rsidRDefault="00811B60">
    <w:pPr>
      <w:pStyle w:val="af4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5F6CC3">
      <w:rPr>
        <w:noProof/>
      </w:rPr>
      <w:t>2</w:t>
    </w:r>
    <w:r>
      <w:rPr>
        <w:noProof/>
      </w:rPr>
      <w:fldChar w:fldCharType="end"/>
    </w:r>
  </w:p>
  <w:p w:rsidR="00811B60" w:rsidRDefault="00811B6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0000001"/>
    <w:multiLevelType w:val="multilevel"/>
    <w:tmpl w:val="DFCC1D2A"/>
    <w:lvl w:ilvl="0">
      <w:start w:val="1"/>
      <w:numFmt w:val="decimal"/>
      <w:lvlText w:val="%1."/>
      <w:lvlJc w:val="left"/>
      <w:pPr>
        <w:ind w:left="568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2."/>
      <w:lvlJc w:val="left"/>
      <w:pPr>
        <w:ind w:left="568"/>
      </w:pPr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2."/>
      <w:lvlJc w:val="left"/>
      <w:pPr>
        <w:ind w:left="568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7"/>
      <w:numFmt w:val="decimal"/>
      <w:lvlText w:val="%2."/>
      <w:lvlJc w:val="left"/>
      <w:pPr>
        <w:ind w:left="568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7"/>
      <w:numFmt w:val="decimal"/>
      <w:lvlText w:val="%2."/>
      <w:lvlJc w:val="left"/>
      <w:pPr>
        <w:ind w:left="568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7"/>
      <w:numFmt w:val="decimal"/>
      <w:lvlText w:val="%2."/>
      <w:lvlJc w:val="left"/>
      <w:pPr>
        <w:ind w:left="568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7"/>
      <w:numFmt w:val="decimal"/>
      <w:lvlText w:val="%2."/>
      <w:lvlJc w:val="left"/>
      <w:pPr>
        <w:ind w:left="568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7"/>
      <w:numFmt w:val="decimal"/>
      <w:lvlText w:val="%2."/>
      <w:lvlJc w:val="left"/>
      <w:pPr>
        <w:ind w:left="568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7"/>
      <w:numFmt w:val="decimal"/>
      <w:lvlText w:val="%2."/>
      <w:lvlJc w:val="left"/>
      <w:pPr>
        <w:ind w:left="568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3D52E2D"/>
    <w:multiLevelType w:val="multilevel"/>
    <w:tmpl w:val="DFCC1D2A"/>
    <w:lvl w:ilvl="0">
      <w:start w:val="1"/>
      <w:numFmt w:val="decimal"/>
      <w:lvlText w:val="%1."/>
      <w:lvlJc w:val="left"/>
      <w:pPr>
        <w:ind w:left="-36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2."/>
      <w:lvlJc w:val="left"/>
      <w:pPr>
        <w:ind w:left="-360"/>
      </w:pPr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2."/>
      <w:lvlJc w:val="left"/>
      <w:pPr>
        <w:ind w:left="-36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7"/>
      <w:numFmt w:val="decimal"/>
      <w:lvlText w:val="%2."/>
      <w:lvlJc w:val="left"/>
      <w:pPr>
        <w:ind w:left="-36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7"/>
      <w:numFmt w:val="decimal"/>
      <w:lvlText w:val="%2."/>
      <w:lvlJc w:val="left"/>
      <w:pPr>
        <w:ind w:left="-36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7"/>
      <w:numFmt w:val="decimal"/>
      <w:lvlText w:val="%2."/>
      <w:lvlJc w:val="left"/>
      <w:pPr>
        <w:ind w:left="-36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7"/>
      <w:numFmt w:val="decimal"/>
      <w:lvlText w:val="%2."/>
      <w:lvlJc w:val="left"/>
      <w:pPr>
        <w:ind w:left="-36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7"/>
      <w:numFmt w:val="decimal"/>
      <w:lvlText w:val="%2."/>
      <w:lvlJc w:val="left"/>
      <w:pPr>
        <w:ind w:left="-36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7"/>
      <w:numFmt w:val="decimal"/>
      <w:lvlText w:val="%2."/>
      <w:lvlJc w:val="left"/>
      <w:pPr>
        <w:ind w:left="-36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1E351E1D"/>
    <w:multiLevelType w:val="hybridMultilevel"/>
    <w:tmpl w:val="470034E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876922"/>
    <w:multiLevelType w:val="hybridMultilevel"/>
    <w:tmpl w:val="209A40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5E2B60"/>
    <w:multiLevelType w:val="multilevel"/>
    <w:tmpl w:val="75443210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D6E3B9C"/>
    <w:multiLevelType w:val="hybridMultilevel"/>
    <w:tmpl w:val="0358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253681D"/>
    <w:multiLevelType w:val="hybridMultilevel"/>
    <w:tmpl w:val="77AA29A0"/>
    <w:lvl w:ilvl="0" w:tplc="BF0A8C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44504E9"/>
    <w:multiLevelType w:val="hybridMultilevel"/>
    <w:tmpl w:val="FB9E74FC"/>
    <w:lvl w:ilvl="0" w:tplc="838CF216">
      <w:start w:val="1"/>
      <w:numFmt w:val="lowerLetter"/>
      <w:pStyle w:val="2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000759F"/>
    <w:multiLevelType w:val="hybridMultilevel"/>
    <w:tmpl w:val="34703D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7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2"/>
  </w:num>
  <w:num w:numId="14">
    <w:abstractNumId w:val="9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1C83"/>
    <w:rsid w:val="000008FB"/>
    <w:rsid w:val="000329C1"/>
    <w:rsid w:val="00043A2B"/>
    <w:rsid w:val="00052C28"/>
    <w:rsid w:val="000649AE"/>
    <w:rsid w:val="00071849"/>
    <w:rsid w:val="00071B38"/>
    <w:rsid w:val="00072565"/>
    <w:rsid w:val="000741A8"/>
    <w:rsid w:val="00074B59"/>
    <w:rsid w:val="000762AA"/>
    <w:rsid w:val="000953B7"/>
    <w:rsid w:val="000A129A"/>
    <w:rsid w:val="000A54C0"/>
    <w:rsid w:val="000B1991"/>
    <w:rsid w:val="000B2F55"/>
    <w:rsid w:val="000C212E"/>
    <w:rsid w:val="000D3DCC"/>
    <w:rsid w:val="000F4D95"/>
    <w:rsid w:val="0010612A"/>
    <w:rsid w:val="00123ACA"/>
    <w:rsid w:val="00125111"/>
    <w:rsid w:val="001267E6"/>
    <w:rsid w:val="00127BED"/>
    <w:rsid w:val="00140E4A"/>
    <w:rsid w:val="00146F02"/>
    <w:rsid w:val="00147885"/>
    <w:rsid w:val="0015071D"/>
    <w:rsid w:val="001547C2"/>
    <w:rsid w:val="00157A36"/>
    <w:rsid w:val="00193C42"/>
    <w:rsid w:val="001969A9"/>
    <w:rsid w:val="001A1F11"/>
    <w:rsid w:val="001C0A2D"/>
    <w:rsid w:val="001C5AE4"/>
    <w:rsid w:val="001E095C"/>
    <w:rsid w:val="001E21F0"/>
    <w:rsid w:val="001E4065"/>
    <w:rsid w:val="001E5723"/>
    <w:rsid w:val="001E6790"/>
    <w:rsid w:val="001F1290"/>
    <w:rsid w:val="00241D26"/>
    <w:rsid w:val="00243743"/>
    <w:rsid w:val="00266345"/>
    <w:rsid w:val="00273CDC"/>
    <w:rsid w:val="002749D5"/>
    <w:rsid w:val="0028364C"/>
    <w:rsid w:val="002936BC"/>
    <w:rsid w:val="00294740"/>
    <w:rsid w:val="002D5EF5"/>
    <w:rsid w:val="002E5191"/>
    <w:rsid w:val="002F791A"/>
    <w:rsid w:val="0030093B"/>
    <w:rsid w:val="0030260A"/>
    <w:rsid w:val="00314868"/>
    <w:rsid w:val="0031725E"/>
    <w:rsid w:val="00330FE4"/>
    <w:rsid w:val="00355814"/>
    <w:rsid w:val="00370C86"/>
    <w:rsid w:val="00370DED"/>
    <w:rsid w:val="003747D8"/>
    <w:rsid w:val="00382505"/>
    <w:rsid w:val="003C5E9F"/>
    <w:rsid w:val="003C6841"/>
    <w:rsid w:val="003D4F02"/>
    <w:rsid w:val="003E4BC0"/>
    <w:rsid w:val="003F3D91"/>
    <w:rsid w:val="00407B9F"/>
    <w:rsid w:val="00417C77"/>
    <w:rsid w:val="004238A4"/>
    <w:rsid w:val="004416D5"/>
    <w:rsid w:val="00441B79"/>
    <w:rsid w:val="004501B1"/>
    <w:rsid w:val="00467D61"/>
    <w:rsid w:val="004763B1"/>
    <w:rsid w:val="0048713C"/>
    <w:rsid w:val="004979EF"/>
    <w:rsid w:val="004A238B"/>
    <w:rsid w:val="004A504E"/>
    <w:rsid w:val="004B1801"/>
    <w:rsid w:val="004B57BD"/>
    <w:rsid w:val="004B5D9B"/>
    <w:rsid w:val="004B72BA"/>
    <w:rsid w:val="004C5E23"/>
    <w:rsid w:val="004D2999"/>
    <w:rsid w:val="004D49E6"/>
    <w:rsid w:val="004D7ED0"/>
    <w:rsid w:val="004E0D7A"/>
    <w:rsid w:val="004E2F6F"/>
    <w:rsid w:val="004F56EB"/>
    <w:rsid w:val="005016F0"/>
    <w:rsid w:val="00522333"/>
    <w:rsid w:val="00534401"/>
    <w:rsid w:val="00537039"/>
    <w:rsid w:val="00537A44"/>
    <w:rsid w:val="005547DE"/>
    <w:rsid w:val="005807D7"/>
    <w:rsid w:val="00586577"/>
    <w:rsid w:val="005A4230"/>
    <w:rsid w:val="005C60C0"/>
    <w:rsid w:val="005E5C79"/>
    <w:rsid w:val="005F6CC3"/>
    <w:rsid w:val="00612DA0"/>
    <w:rsid w:val="00613C83"/>
    <w:rsid w:val="00621D87"/>
    <w:rsid w:val="00626D14"/>
    <w:rsid w:val="006366C4"/>
    <w:rsid w:val="00640808"/>
    <w:rsid w:val="00641273"/>
    <w:rsid w:val="00641C83"/>
    <w:rsid w:val="00645934"/>
    <w:rsid w:val="00667E6F"/>
    <w:rsid w:val="006818D1"/>
    <w:rsid w:val="00685EBF"/>
    <w:rsid w:val="00687CAA"/>
    <w:rsid w:val="0069298F"/>
    <w:rsid w:val="006944C1"/>
    <w:rsid w:val="006A72F8"/>
    <w:rsid w:val="006B6BCF"/>
    <w:rsid w:val="006B6C35"/>
    <w:rsid w:val="006B6E8A"/>
    <w:rsid w:val="006C2F46"/>
    <w:rsid w:val="006C50E8"/>
    <w:rsid w:val="006C69DF"/>
    <w:rsid w:val="006D17A4"/>
    <w:rsid w:val="006F0F56"/>
    <w:rsid w:val="00702201"/>
    <w:rsid w:val="00704E15"/>
    <w:rsid w:val="00704F04"/>
    <w:rsid w:val="00716F5A"/>
    <w:rsid w:val="00720DD9"/>
    <w:rsid w:val="007514E8"/>
    <w:rsid w:val="00767743"/>
    <w:rsid w:val="00787B23"/>
    <w:rsid w:val="0079155C"/>
    <w:rsid w:val="00797B05"/>
    <w:rsid w:val="007D0E12"/>
    <w:rsid w:val="007D4F12"/>
    <w:rsid w:val="007E4D03"/>
    <w:rsid w:val="00800393"/>
    <w:rsid w:val="00801B0B"/>
    <w:rsid w:val="00807DFB"/>
    <w:rsid w:val="0081057F"/>
    <w:rsid w:val="00810F9A"/>
    <w:rsid w:val="00811B60"/>
    <w:rsid w:val="00833928"/>
    <w:rsid w:val="0083514E"/>
    <w:rsid w:val="00842156"/>
    <w:rsid w:val="00845669"/>
    <w:rsid w:val="00845A1F"/>
    <w:rsid w:val="00854B4A"/>
    <w:rsid w:val="0086685D"/>
    <w:rsid w:val="0088767B"/>
    <w:rsid w:val="008902FD"/>
    <w:rsid w:val="008957D0"/>
    <w:rsid w:val="00896941"/>
    <w:rsid w:val="008A1EA5"/>
    <w:rsid w:val="008B706D"/>
    <w:rsid w:val="008B7F50"/>
    <w:rsid w:val="008C7598"/>
    <w:rsid w:val="008D0F92"/>
    <w:rsid w:val="008D7EE9"/>
    <w:rsid w:val="00902D56"/>
    <w:rsid w:val="0091447D"/>
    <w:rsid w:val="00924331"/>
    <w:rsid w:val="009366CD"/>
    <w:rsid w:val="00947E26"/>
    <w:rsid w:val="00950582"/>
    <w:rsid w:val="0095192C"/>
    <w:rsid w:val="00960A09"/>
    <w:rsid w:val="009702BD"/>
    <w:rsid w:val="00971E3A"/>
    <w:rsid w:val="00987202"/>
    <w:rsid w:val="009B248B"/>
    <w:rsid w:val="009B615D"/>
    <w:rsid w:val="009B7B91"/>
    <w:rsid w:val="009C294D"/>
    <w:rsid w:val="009C5E9F"/>
    <w:rsid w:val="009D62CA"/>
    <w:rsid w:val="009E45D3"/>
    <w:rsid w:val="00A52022"/>
    <w:rsid w:val="00A92150"/>
    <w:rsid w:val="00AB3ED3"/>
    <w:rsid w:val="00AE6E7B"/>
    <w:rsid w:val="00AF65DB"/>
    <w:rsid w:val="00B21DD6"/>
    <w:rsid w:val="00B2361D"/>
    <w:rsid w:val="00B3180E"/>
    <w:rsid w:val="00B33079"/>
    <w:rsid w:val="00B42E3F"/>
    <w:rsid w:val="00B54A65"/>
    <w:rsid w:val="00B63237"/>
    <w:rsid w:val="00B73AC5"/>
    <w:rsid w:val="00B7423C"/>
    <w:rsid w:val="00B77B8F"/>
    <w:rsid w:val="00B859BA"/>
    <w:rsid w:val="00B91CDA"/>
    <w:rsid w:val="00B9547C"/>
    <w:rsid w:val="00BA26BA"/>
    <w:rsid w:val="00BA4827"/>
    <w:rsid w:val="00BC2346"/>
    <w:rsid w:val="00BD23EC"/>
    <w:rsid w:val="00BE20E8"/>
    <w:rsid w:val="00BE65CF"/>
    <w:rsid w:val="00C04B5E"/>
    <w:rsid w:val="00C10A0F"/>
    <w:rsid w:val="00C34AA3"/>
    <w:rsid w:val="00C54AD6"/>
    <w:rsid w:val="00C949B6"/>
    <w:rsid w:val="00CA09A9"/>
    <w:rsid w:val="00CA7EB7"/>
    <w:rsid w:val="00CB6E0F"/>
    <w:rsid w:val="00CC4C3E"/>
    <w:rsid w:val="00CD1F88"/>
    <w:rsid w:val="00CD43B2"/>
    <w:rsid w:val="00CF7812"/>
    <w:rsid w:val="00D00399"/>
    <w:rsid w:val="00D06D57"/>
    <w:rsid w:val="00D10E60"/>
    <w:rsid w:val="00D20E94"/>
    <w:rsid w:val="00D31613"/>
    <w:rsid w:val="00D41EBA"/>
    <w:rsid w:val="00D651F3"/>
    <w:rsid w:val="00D73DC3"/>
    <w:rsid w:val="00D96206"/>
    <w:rsid w:val="00DD2D36"/>
    <w:rsid w:val="00DF5C57"/>
    <w:rsid w:val="00DF5DDA"/>
    <w:rsid w:val="00E14147"/>
    <w:rsid w:val="00E305D3"/>
    <w:rsid w:val="00E32A06"/>
    <w:rsid w:val="00E32C65"/>
    <w:rsid w:val="00E443AA"/>
    <w:rsid w:val="00E7560B"/>
    <w:rsid w:val="00E75C7B"/>
    <w:rsid w:val="00E76ED4"/>
    <w:rsid w:val="00E934F4"/>
    <w:rsid w:val="00E95E29"/>
    <w:rsid w:val="00EA14B2"/>
    <w:rsid w:val="00EA1D01"/>
    <w:rsid w:val="00EA679B"/>
    <w:rsid w:val="00EB36D6"/>
    <w:rsid w:val="00ED2035"/>
    <w:rsid w:val="00ED74B4"/>
    <w:rsid w:val="00EE4191"/>
    <w:rsid w:val="00F44C76"/>
    <w:rsid w:val="00F467FE"/>
    <w:rsid w:val="00F55C81"/>
    <w:rsid w:val="00FC1230"/>
    <w:rsid w:val="00FC695E"/>
    <w:rsid w:val="00FD0CE0"/>
    <w:rsid w:val="00FD79E8"/>
    <w:rsid w:val="00FE0D3A"/>
    <w:rsid w:val="00FE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docId w15:val="{C4C41D2C-BEB3-423C-A70F-0A25301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393"/>
    <w:pPr>
      <w:spacing w:after="160" w:line="259" w:lineRule="auto"/>
    </w:pPr>
    <w:rPr>
      <w:lang w:eastAsia="en-US"/>
    </w:rPr>
  </w:style>
  <w:style w:type="paragraph" w:styleId="20">
    <w:name w:val="heading 2"/>
    <w:basedOn w:val="a"/>
    <w:next w:val="a"/>
    <w:link w:val="21"/>
    <w:uiPriority w:val="99"/>
    <w:qFormat/>
    <w:rsid w:val="00833928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aliases w:val="H4,H41,Sub-Minor,Level 2 - a"/>
    <w:basedOn w:val="a"/>
    <w:next w:val="a"/>
    <w:link w:val="40"/>
    <w:uiPriority w:val="99"/>
    <w:qFormat/>
    <w:rsid w:val="006818D1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uiPriority w:val="99"/>
    <w:semiHidden/>
    <w:locked/>
    <w:rsid w:val="00833928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uiPriority w:val="99"/>
    <w:locked/>
    <w:rsid w:val="006818D1"/>
    <w:rPr>
      <w:rFonts w:ascii="Calibri" w:hAnsi="Calibri" w:cs="Times New Roman"/>
      <w:b/>
      <w:bCs/>
      <w:sz w:val="28"/>
      <w:szCs w:val="28"/>
      <w:lang w:eastAsia="ko-KR"/>
    </w:rPr>
  </w:style>
  <w:style w:type="paragraph" w:styleId="a3">
    <w:name w:val="Body Text"/>
    <w:aliases w:val="body text"/>
    <w:basedOn w:val="a"/>
    <w:link w:val="1"/>
    <w:uiPriority w:val="99"/>
    <w:rsid w:val="00641C83"/>
    <w:pPr>
      <w:spacing w:before="120" w:after="120" w:line="240" w:lineRule="auto"/>
      <w:jc w:val="both"/>
    </w:pPr>
    <w:rPr>
      <w:rFonts w:ascii="Times New Roman" w:eastAsia="Times New Roman" w:hAnsi="Times New Roman"/>
      <w:sz w:val="20"/>
      <w:szCs w:val="20"/>
      <w:lang w:val="en-GB" w:eastAsia="ru-RU"/>
    </w:rPr>
  </w:style>
  <w:style w:type="character" w:customStyle="1" w:styleId="1">
    <w:name w:val="Основной текст Знак1"/>
    <w:aliases w:val="body text Знак"/>
    <w:basedOn w:val="a0"/>
    <w:link w:val="a3"/>
    <w:uiPriority w:val="99"/>
    <w:locked/>
    <w:rsid w:val="00641C83"/>
    <w:rPr>
      <w:rFonts w:ascii="Times New Roman" w:hAnsi="Times New Roman" w:cs="Times New Roman"/>
      <w:sz w:val="20"/>
      <w:lang w:val="en-GB"/>
    </w:rPr>
  </w:style>
  <w:style w:type="character" w:customStyle="1" w:styleId="a4">
    <w:name w:val="Основной текст Знак"/>
    <w:basedOn w:val="a0"/>
    <w:uiPriority w:val="99"/>
    <w:semiHidden/>
    <w:rsid w:val="00641C83"/>
    <w:rPr>
      <w:rFonts w:cs="Times New Roman"/>
    </w:rPr>
  </w:style>
  <w:style w:type="character" w:styleId="a5">
    <w:name w:val="annotation reference"/>
    <w:basedOn w:val="a0"/>
    <w:uiPriority w:val="99"/>
    <w:semiHidden/>
    <w:rsid w:val="004238A4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4238A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4238A4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4238A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4238A4"/>
    <w:rPr>
      <w:rFonts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4238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238A4"/>
    <w:rPr>
      <w:rFonts w:ascii="Segoe UI" w:hAnsi="Segoe UI" w:cs="Segoe UI"/>
      <w:sz w:val="18"/>
      <w:szCs w:val="18"/>
    </w:rPr>
  </w:style>
  <w:style w:type="paragraph" w:customStyle="1" w:styleId="ac">
    <w:name w:val="Обычный текст"/>
    <w:basedOn w:val="a"/>
    <w:link w:val="ad"/>
    <w:uiPriority w:val="99"/>
    <w:rsid w:val="000741A8"/>
    <w:pPr>
      <w:spacing w:after="0" w:line="240" w:lineRule="auto"/>
      <w:ind w:firstLine="425"/>
    </w:pPr>
    <w:rPr>
      <w:rFonts w:ascii="Times New Roman" w:eastAsia="Arial Unicode MS" w:hAnsi="Times New Roman"/>
      <w:sz w:val="24"/>
      <w:szCs w:val="20"/>
      <w:lang w:eastAsia="ru-RU"/>
    </w:rPr>
  </w:style>
  <w:style w:type="character" w:customStyle="1" w:styleId="ad">
    <w:name w:val="Обычный текст Знак"/>
    <w:link w:val="ac"/>
    <w:uiPriority w:val="99"/>
    <w:locked/>
    <w:rsid w:val="000741A8"/>
    <w:rPr>
      <w:rFonts w:ascii="Times New Roman" w:eastAsia="Arial Unicode MS" w:hAnsi="Times New Roman"/>
      <w:sz w:val="24"/>
      <w:lang w:eastAsia="ru-RU"/>
    </w:rPr>
  </w:style>
  <w:style w:type="paragraph" w:styleId="ae">
    <w:name w:val="List Paragraph"/>
    <w:basedOn w:val="a"/>
    <w:uiPriority w:val="99"/>
    <w:qFormat/>
    <w:rsid w:val="00D00399"/>
    <w:pPr>
      <w:ind w:left="720"/>
      <w:contextualSpacing/>
    </w:pPr>
  </w:style>
  <w:style w:type="paragraph" w:styleId="af">
    <w:name w:val="footnote text"/>
    <w:basedOn w:val="a"/>
    <w:link w:val="af0"/>
    <w:uiPriority w:val="99"/>
    <w:semiHidden/>
    <w:rsid w:val="004E0D7A"/>
    <w:pPr>
      <w:tabs>
        <w:tab w:val="left" w:pos="720"/>
      </w:tabs>
      <w:spacing w:after="120" w:line="240" w:lineRule="auto"/>
      <w:ind w:left="720" w:hanging="720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locked/>
    <w:rsid w:val="004E0D7A"/>
    <w:rPr>
      <w:rFonts w:ascii="Times New Roman" w:hAnsi="Times New Roman" w:cs="Times New Roman"/>
      <w:sz w:val="20"/>
      <w:szCs w:val="20"/>
      <w:lang w:val="en-US"/>
    </w:rPr>
  </w:style>
  <w:style w:type="character" w:styleId="af1">
    <w:name w:val="footnote reference"/>
    <w:basedOn w:val="a0"/>
    <w:uiPriority w:val="99"/>
    <w:semiHidden/>
    <w:rsid w:val="004E0D7A"/>
    <w:rPr>
      <w:rFonts w:cs="Times New Roman"/>
      <w:vertAlign w:val="superscript"/>
    </w:rPr>
  </w:style>
  <w:style w:type="paragraph" w:styleId="2">
    <w:name w:val="List Number 2"/>
    <w:basedOn w:val="a"/>
    <w:uiPriority w:val="99"/>
    <w:rsid w:val="00987202"/>
    <w:pPr>
      <w:keepNext/>
      <w:keepLines/>
      <w:numPr>
        <w:numId w:val="9"/>
      </w:numPr>
      <w:tabs>
        <w:tab w:val="num" w:pos="643"/>
        <w:tab w:val="left" w:pos="1260"/>
      </w:tabs>
      <w:spacing w:before="120" w:after="0" w:line="240" w:lineRule="auto"/>
      <w:ind w:left="643"/>
      <w:jc w:val="both"/>
    </w:pPr>
    <w:rPr>
      <w:rFonts w:ascii="Garamond" w:eastAsia="Times New Roman" w:hAnsi="Garamond"/>
      <w:szCs w:val="20"/>
    </w:rPr>
  </w:style>
  <w:style w:type="paragraph" w:customStyle="1" w:styleId="ConsPlusNormal">
    <w:name w:val="ConsPlusNormal"/>
    <w:uiPriority w:val="99"/>
    <w:rsid w:val="006818D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ubsubclauseindent">
    <w:name w:val="subsubclauseindent"/>
    <w:basedOn w:val="a"/>
    <w:uiPriority w:val="99"/>
    <w:rsid w:val="00902D56"/>
    <w:pPr>
      <w:spacing w:before="120" w:after="120" w:line="240" w:lineRule="auto"/>
      <w:ind w:left="2552"/>
      <w:jc w:val="both"/>
    </w:pPr>
    <w:rPr>
      <w:rFonts w:ascii="Times New Roman" w:eastAsia="Times New Roman" w:hAnsi="Times New Roman"/>
      <w:szCs w:val="20"/>
      <w:lang w:val="en-GB"/>
    </w:rPr>
  </w:style>
  <w:style w:type="paragraph" w:styleId="af2">
    <w:name w:val="Normal (Web)"/>
    <w:basedOn w:val="a"/>
    <w:uiPriority w:val="99"/>
    <w:rsid w:val="005A4230"/>
    <w:pPr>
      <w:spacing w:before="42"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3">
    <w:name w:val="Table Grid"/>
    <w:basedOn w:val="a1"/>
    <w:uiPriority w:val="99"/>
    <w:rsid w:val="000649A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rsid w:val="00382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locked/>
    <w:rsid w:val="00382505"/>
    <w:rPr>
      <w:rFonts w:cs="Times New Roman"/>
    </w:rPr>
  </w:style>
  <w:style w:type="paragraph" w:styleId="af6">
    <w:name w:val="footer"/>
    <w:basedOn w:val="a"/>
    <w:link w:val="af7"/>
    <w:uiPriority w:val="99"/>
    <w:rsid w:val="00382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locked/>
    <w:rsid w:val="0038250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2153</Words>
  <Characters>12274</Characters>
  <Application>Microsoft Office Word</Application>
  <DocSecurity>0</DocSecurity>
  <Lines>102</Lines>
  <Paragraphs>28</Paragraphs>
  <ScaleCrop>false</ScaleCrop>
  <Company>Inter RAO</Company>
  <LinksUpToDate>false</LinksUpToDate>
  <CharactersWithSpaces>14399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Лабутин Глеб Владимирович</dc:creator>
  <cp:keywords/>
  <dc:description/>
  <cp:lastModifiedBy>Ирина Пряхина</cp:lastModifiedBy>
  <cp:revision>21</cp:revision>
  <cp:lastPrinted>2018-09-07T10:45:00Z</cp:lastPrinted>
  <dcterms:created xsi:type="dcterms:W3CDTF">2018-08-09T10:02:00Z</dcterms:created>
  <dcterms:modified xsi:type="dcterms:W3CDTF">2018-09-19T11:10:00Z</dcterms:modified>
</cp:coreProperties>
</file>